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476" w:rsidRPr="00755F49" w:rsidRDefault="007C5476" w:rsidP="00755F49">
      <w:pPr>
        <w:tabs>
          <w:tab w:val="left" w:pos="432"/>
        </w:tabs>
        <w:jc w:val="both"/>
        <w:rPr>
          <w:b/>
          <w:color w:val="000000" w:themeColor="text1"/>
          <w:sz w:val="21"/>
          <w:szCs w:val="21"/>
        </w:rPr>
      </w:pPr>
      <w:bookmarkStart w:id="0" w:name="_GoBack"/>
      <w:bookmarkEnd w:id="0"/>
    </w:p>
    <w:p w:rsidR="007C5476" w:rsidRPr="00755F49" w:rsidRDefault="007C5476" w:rsidP="00755F49">
      <w:pPr>
        <w:tabs>
          <w:tab w:val="left" w:pos="432"/>
        </w:tabs>
        <w:jc w:val="both"/>
        <w:rPr>
          <w:b/>
          <w:color w:val="000000" w:themeColor="text1"/>
          <w:sz w:val="21"/>
          <w:szCs w:val="21"/>
        </w:rPr>
      </w:pPr>
    </w:p>
    <w:p w:rsidR="007C5476" w:rsidRPr="00755F49" w:rsidRDefault="007C5476" w:rsidP="00755F49">
      <w:pPr>
        <w:tabs>
          <w:tab w:val="left" w:pos="432"/>
        </w:tabs>
        <w:jc w:val="both"/>
        <w:rPr>
          <w:b/>
          <w:color w:val="000000" w:themeColor="text1"/>
          <w:sz w:val="21"/>
          <w:szCs w:val="21"/>
        </w:rPr>
      </w:pPr>
    </w:p>
    <w:p w:rsidR="007C5476" w:rsidRPr="00755F49" w:rsidRDefault="007C5476" w:rsidP="00755F49">
      <w:pPr>
        <w:tabs>
          <w:tab w:val="left" w:pos="432"/>
        </w:tabs>
        <w:jc w:val="both"/>
        <w:rPr>
          <w:b/>
          <w:color w:val="000000" w:themeColor="text1"/>
          <w:sz w:val="21"/>
          <w:szCs w:val="21"/>
        </w:rPr>
      </w:pPr>
    </w:p>
    <w:p w:rsidR="00427B80" w:rsidRPr="00755F49" w:rsidRDefault="007C5476" w:rsidP="00755F49">
      <w:pPr>
        <w:tabs>
          <w:tab w:val="left" w:pos="432"/>
        </w:tabs>
        <w:jc w:val="center"/>
        <w:rPr>
          <w:b/>
          <w:color w:val="000000" w:themeColor="text1"/>
          <w:sz w:val="29"/>
          <w:szCs w:val="21"/>
        </w:rPr>
      </w:pPr>
      <w:r w:rsidRPr="00755F49">
        <w:rPr>
          <w:b/>
          <w:color w:val="000000" w:themeColor="text1"/>
          <w:sz w:val="29"/>
          <w:szCs w:val="21"/>
        </w:rPr>
        <w:t>PERCENTAGE OF PATIENTS WHO SHOW AGREEMENT BETWEEN EMG AND CSF FINDINGS FOR THE DIAGNOSIS OF GBS</w:t>
      </w:r>
    </w:p>
    <w:p w:rsidR="007C5476" w:rsidRPr="00755F49" w:rsidRDefault="007C5476" w:rsidP="00755F49">
      <w:pPr>
        <w:tabs>
          <w:tab w:val="left" w:pos="432"/>
        </w:tabs>
        <w:jc w:val="both"/>
        <w:rPr>
          <w:b/>
          <w:color w:val="000000" w:themeColor="text1"/>
          <w:sz w:val="21"/>
          <w:szCs w:val="21"/>
        </w:rPr>
      </w:pPr>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FARYAD HUSSAIN</w:t>
      </w:r>
      <w:proofErr w:type="gramStart"/>
      <w:r w:rsidRPr="00755F49">
        <w:rPr>
          <w:color w:val="000000" w:themeColor="text1"/>
          <w:sz w:val="21"/>
          <w:szCs w:val="21"/>
        </w:rPr>
        <w:t>,NASIR</w:t>
      </w:r>
      <w:proofErr w:type="gramEnd"/>
      <w:r w:rsidRPr="00755F49">
        <w:rPr>
          <w:color w:val="000000" w:themeColor="text1"/>
          <w:sz w:val="21"/>
          <w:szCs w:val="21"/>
        </w:rPr>
        <w:t xml:space="preserve"> ABBAS BALOCH,ZAINAB FATIMA,ARIF ZAHEER,PROF AGHA SHABBIR ALI</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b/>
          <w:color w:val="000000" w:themeColor="text1"/>
          <w:sz w:val="25"/>
          <w:szCs w:val="21"/>
        </w:rPr>
      </w:pPr>
      <w:r w:rsidRPr="00755F49">
        <w:rPr>
          <w:b/>
          <w:color w:val="000000" w:themeColor="text1"/>
          <w:sz w:val="25"/>
          <w:szCs w:val="21"/>
        </w:rPr>
        <w:t>ABSTRACT</w:t>
      </w:r>
    </w:p>
    <w:p w:rsidR="007C5476" w:rsidRPr="00755F49" w:rsidRDefault="007C5476" w:rsidP="00755F49">
      <w:pPr>
        <w:tabs>
          <w:tab w:val="left" w:pos="432"/>
        </w:tabs>
        <w:jc w:val="both"/>
        <w:rPr>
          <w:color w:val="000000" w:themeColor="text1"/>
          <w:sz w:val="21"/>
          <w:szCs w:val="21"/>
        </w:rPr>
      </w:pPr>
      <w:r w:rsidRPr="00755F49">
        <w:rPr>
          <w:b/>
          <w:color w:val="000000" w:themeColor="text1"/>
          <w:sz w:val="21"/>
          <w:szCs w:val="21"/>
        </w:rPr>
        <w:t>Objective</w:t>
      </w:r>
      <w:r w:rsidRPr="00755F49">
        <w:rPr>
          <w:rFonts w:eastAsia="MS Mincho"/>
          <w:b/>
          <w:color w:val="000000" w:themeColor="text1"/>
          <w:sz w:val="21"/>
          <w:szCs w:val="21"/>
        </w:rPr>
        <w:t>:</w:t>
      </w:r>
      <w:r w:rsidRPr="00755F49">
        <w:rPr>
          <w:rFonts w:eastAsia="MS Mincho"/>
          <w:color w:val="000000" w:themeColor="text1"/>
          <w:sz w:val="21"/>
          <w:szCs w:val="21"/>
        </w:rPr>
        <w:t xml:space="preserve"> to determine </w:t>
      </w:r>
      <w:r w:rsidRPr="00755F49">
        <w:rPr>
          <w:color w:val="000000" w:themeColor="text1"/>
          <w:sz w:val="21"/>
          <w:szCs w:val="21"/>
        </w:rPr>
        <w:t>the percentage of patients who show agreement between EMG and CSF findings for the diagnosis of GBS.</w:t>
      </w:r>
    </w:p>
    <w:p w:rsidR="007C5476" w:rsidRPr="00755F49" w:rsidRDefault="007C5476" w:rsidP="00755F49">
      <w:pPr>
        <w:tabs>
          <w:tab w:val="left" w:pos="432"/>
        </w:tabs>
        <w:jc w:val="both"/>
        <w:rPr>
          <w:bCs/>
          <w:color w:val="000000" w:themeColor="text1"/>
          <w:sz w:val="21"/>
          <w:szCs w:val="21"/>
        </w:rPr>
      </w:pPr>
      <w:r w:rsidRPr="00755F49">
        <w:rPr>
          <w:b/>
          <w:color w:val="000000" w:themeColor="text1"/>
          <w:sz w:val="21"/>
          <w:szCs w:val="21"/>
        </w:rPr>
        <w:t>Study Design:</w:t>
      </w:r>
      <w:r w:rsidRPr="00755F49">
        <w:rPr>
          <w:color w:val="000000" w:themeColor="text1"/>
          <w:sz w:val="21"/>
          <w:szCs w:val="21"/>
        </w:rPr>
        <w:t xml:space="preserve"> </w:t>
      </w:r>
      <w:r w:rsidRPr="00755F49">
        <w:rPr>
          <w:bCs/>
          <w:color w:val="000000" w:themeColor="text1"/>
          <w:sz w:val="21"/>
          <w:szCs w:val="21"/>
        </w:rPr>
        <w:t>Cross sectional survey.</w:t>
      </w:r>
    </w:p>
    <w:p w:rsidR="007C5476" w:rsidRPr="00755F49" w:rsidRDefault="007C5476" w:rsidP="00755F49">
      <w:pPr>
        <w:tabs>
          <w:tab w:val="left" w:pos="432"/>
        </w:tabs>
        <w:jc w:val="both"/>
        <w:rPr>
          <w:bCs/>
          <w:color w:val="000000" w:themeColor="text1"/>
          <w:sz w:val="21"/>
          <w:szCs w:val="21"/>
        </w:rPr>
      </w:pPr>
      <w:r w:rsidRPr="00755F49">
        <w:rPr>
          <w:b/>
          <w:color w:val="000000" w:themeColor="text1"/>
          <w:sz w:val="21"/>
          <w:szCs w:val="21"/>
        </w:rPr>
        <w:t>Setting:</w:t>
      </w:r>
      <w:r w:rsidRPr="00755F49">
        <w:rPr>
          <w:color w:val="000000" w:themeColor="text1"/>
          <w:sz w:val="21"/>
          <w:szCs w:val="21"/>
        </w:rPr>
        <w:t xml:space="preserve"> </w:t>
      </w:r>
      <w:r w:rsidRPr="00755F49">
        <w:rPr>
          <w:rFonts w:eastAsia="MS Mincho"/>
          <w:bCs/>
          <w:color w:val="000000" w:themeColor="text1"/>
          <w:sz w:val="21"/>
          <w:szCs w:val="21"/>
        </w:rPr>
        <w:t xml:space="preserve">This study was conducted in the Department of </w:t>
      </w:r>
      <w:r w:rsidRPr="00755F49">
        <w:rPr>
          <w:bCs/>
          <w:color w:val="000000" w:themeColor="text1"/>
          <w:sz w:val="21"/>
          <w:szCs w:val="21"/>
        </w:rPr>
        <w:t xml:space="preserve">Neurology and Medical ICU, The Children Hospital Lahore, </w:t>
      </w:r>
      <w:proofErr w:type="gramStart"/>
      <w:r w:rsidRPr="00755F49">
        <w:rPr>
          <w:bCs/>
          <w:color w:val="000000" w:themeColor="text1"/>
          <w:sz w:val="21"/>
          <w:szCs w:val="21"/>
        </w:rPr>
        <w:t>from  01</w:t>
      </w:r>
      <w:proofErr w:type="gramEnd"/>
      <w:r w:rsidRPr="00755F49">
        <w:rPr>
          <w:bCs/>
          <w:color w:val="000000" w:themeColor="text1"/>
          <w:sz w:val="21"/>
          <w:szCs w:val="21"/>
        </w:rPr>
        <w:t>-10-2011 to 31-03-2012.</w:t>
      </w:r>
    </w:p>
    <w:p w:rsidR="007C5476" w:rsidRPr="00755F49" w:rsidRDefault="007C5476" w:rsidP="00755F49">
      <w:pPr>
        <w:tabs>
          <w:tab w:val="left" w:pos="432"/>
        </w:tabs>
        <w:jc w:val="both"/>
        <w:rPr>
          <w:bCs/>
          <w:color w:val="000000" w:themeColor="text1"/>
          <w:sz w:val="21"/>
          <w:szCs w:val="21"/>
        </w:rPr>
      </w:pPr>
      <w:r w:rsidRPr="00755F49">
        <w:rPr>
          <w:b/>
          <w:color w:val="000000" w:themeColor="text1"/>
          <w:sz w:val="21"/>
          <w:szCs w:val="21"/>
        </w:rPr>
        <w:t>Methodology:</w:t>
      </w:r>
      <w:r w:rsidRPr="00755F49">
        <w:rPr>
          <w:color w:val="000000" w:themeColor="text1"/>
          <w:sz w:val="21"/>
          <w:szCs w:val="21"/>
        </w:rPr>
        <w:t xml:space="preserve"> </w:t>
      </w:r>
      <w:r w:rsidRPr="00755F49">
        <w:rPr>
          <w:bCs/>
          <w:color w:val="000000" w:themeColor="text1"/>
          <w:sz w:val="21"/>
          <w:szCs w:val="21"/>
        </w:rPr>
        <w:t>120 patients fulfilled the inclusion criteria were enrolled in the study. EMG was conducted and conduction velocities of motor and sensory nerves of lower and upper limbs and amplitude of compound motor action potential (CMAP’s) were checked. After ten days of start of disease lumbar puncture was done with aseptic measures by the researcher and was sent to the central laboratory of the hospital for analysis of CSF.</w:t>
      </w:r>
    </w:p>
    <w:p w:rsidR="007C5476" w:rsidRPr="00755F49" w:rsidRDefault="007C5476" w:rsidP="00755F49">
      <w:pPr>
        <w:tabs>
          <w:tab w:val="left" w:pos="432"/>
        </w:tabs>
        <w:jc w:val="both"/>
        <w:rPr>
          <w:bCs/>
          <w:color w:val="000000" w:themeColor="text1"/>
          <w:sz w:val="21"/>
          <w:szCs w:val="21"/>
        </w:rPr>
      </w:pPr>
      <w:r w:rsidRPr="00755F49">
        <w:rPr>
          <w:b/>
          <w:color w:val="000000" w:themeColor="text1"/>
          <w:sz w:val="21"/>
          <w:szCs w:val="21"/>
        </w:rPr>
        <w:t>Results:</w:t>
      </w:r>
      <w:r w:rsidRPr="00755F49">
        <w:rPr>
          <w:color w:val="000000" w:themeColor="text1"/>
          <w:sz w:val="21"/>
          <w:szCs w:val="21"/>
        </w:rPr>
        <w:t xml:space="preserve"> </w:t>
      </w:r>
      <w:r w:rsidRPr="00755F49">
        <w:rPr>
          <w:bCs/>
          <w:color w:val="000000" w:themeColor="text1"/>
          <w:sz w:val="21"/>
          <w:szCs w:val="21"/>
        </w:rPr>
        <w:t>The mean age of the patients was 5.6±2.8 years. There were 72 (60.0%) male patients and 48 (40.0%) female patients. 116 (96.7%) patients had positive EMG findings and 4 (3.3%) patients had negative EMG findings. 66 (55%) patients had positive CSF findings and 54 (45%) patients had negative CSF findings. Thus at least 64 (53.3%) patients had an agreement between CSF and EMG findings.</w:t>
      </w:r>
    </w:p>
    <w:p w:rsidR="007C5476" w:rsidRPr="00755F49" w:rsidRDefault="007C5476" w:rsidP="00755F49">
      <w:pPr>
        <w:tabs>
          <w:tab w:val="left" w:pos="432"/>
        </w:tabs>
        <w:jc w:val="both"/>
        <w:rPr>
          <w:bCs/>
          <w:color w:val="000000" w:themeColor="text1"/>
          <w:sz w:val="21"/>
          <w:szCs w:val="21"/>
        </w:rPr>
      </w:pPr>
      <w:r w:rsidRPr="00755F49">
        <w:rPr>
          <w:b/>
          <w:color w:val="000000" w:themeColor="text1"/>
          <w:sz w:val="21"/>
          <w:szCs w:val="21"/>
        </w:rPr>
        <w:t>Conclusion:</w:t>
      </w:r>
      <w:r w:rsidRPr="00755F49">
        <w:rPr>
          <w:color w:val="000000" w:themeColor="text1"/>
          <w:sz w:val="21"/>
          <w:szCs w:val="21"/>
        </w:rPr>
        <w:t xml:space="preserve"> </w:t>
      </w:r>
      <w:r w:rsidRPr="00755F49">
        <w:rPr>
          <w:bCs/>
          <w:color w:val="000000" w:themeColor="text1"/>
          <w:sz w:val="21"/>
          <w:szCs w:val="21"/>
        </w:rPr>
        <w:t xml:space="preserve">It is concluded from this study that there is strong </w:t>
      </w:r>
      <w:r w:rsidRPr="00755F49">
        <w:rPr>
          <w:color w:val="000000" w:themeColor="text1"/>
          <w:sz w:val="21"/>
          <w:szCs w:val="21"/>
        </w:rPr>
        <w:t xml:space="preserve">agreement between EMG findings and CSF findings for the diagnosis of </w:t>
      </w:r>
      <w:proofErr w:type="spellStart"/>
      <w:r w:rsidRPr="00755F49">
        <w:rPr>
          <w:bCs/>
          <w:color w:val="000000" w:themeColor="text1"/>
          <w:sz w:val="21"/>
          <w:szCs w:val="21"/>
        </w:rPr>
        <w:t>Guillain</w:t>
      </w:r>
      <w:proofErr w:type="spellEnd"/>
      <w:r w:rsidRPr="00755F49">
        <w:rPr>
          <w:bCs/>
          <w:color w:val="000000" w:themeColor="text1"/>
          <w:sz w:val="21"/>
          <w:szCs w:val="21"/>
        </w:rPr>
        <w:t xml:space="preserve"> </w:t>
      </w:r>
      <w:proofErr w:type="spellStart"/>
      <w:r w:rsidRPr="00755F49">
        <w:rPr>
          <w:bCs/>
          <w:color w:val="000000" w:themeColor="text1"/>
          <w:sz w:val="21"/>
          <w:szCs w:val="21"/>
        </w:rPr>
        <w:t>Barre</w:t>
      </w:r>
      <w:proofErr w:type="spellEnd"/>
      <w:r w:rsidRPr="00755F49">
        <w:rPr>
          <w:bCs/>
          <w:color w:val="000000" w:themeColor="text1"/>
          <w:sz w:val="21"/>
          <w:szCs w:val="21"/>
        </w:rPr>
        <w:t xml:space="preserve"> Syndrome in children.</w:t>
      </w:r>
    </w:p>
    <w:p w:rsidR="007C5476" w:rsidRPr="00755F49" w:rsidRDefault="007C5476" w:rsidP="00755F49">
      <w:pPr>
        <w:tabs>
          <w:tab w:val="left" w:pos="432"/>
        </w:tabs>
        <w:jc w:val="both"/>
        <w:rPr>
          <w:b/>
          <w:color w:val="000000" w:themeColor="text1"/>
          <w:sz w:val="21"/>
          <w:szCs w:val="21"/>
        </w:rPr>
      </w:pPr>
    </w:p>
    <w:p w:rsidR="007C5476" w:rsidRPr="00755F49" w:rsidRDefault="007C5476" w:rsidP="00755F49">
      <w:pPr>
        <w:tabs>
          <w:tab w:val="left" w:pos="432"/>
        </w:tabs>
        <w:jc w:val="both"/>
        <w:rPr>
          <w:bCs/>
          <w:color w:val="000000" w:themeColor="text1"/>
          <w:sz w:val="21"/>
          <w:szCs w:val="21"/>
        </w:rPr>
      </w:pPr>
      <w:r w:rsidRPr="00755F49">
        <w:rPr>
          <w:b/>
          <w:color w:val="000000" w:themeColor="text1"/>
          <w:sz w:val="21"/>
          <w:szCs w:val="21"/>
        </w:rPr>
        <w:t>Keywords:</w:t>
      </w:r>
      <w:r w:rsidRPr="00755F49">
        <w:rPr>
          <w:color w:val="000000" w:themeColor="text1"/>
          <w:sz w:val="21"/>
          <w:szCs w:val="21"/>
        </w:rPr>
        <w:t xml:space="preserve"> </w:t>
      </w:r>
      <w:proofErr w:type="spellStart"/>
      <w:r w:rsidRPr="00755F49">
        <w:rPr>
          <w:bCs/>
          <w:color w:val="000000" w:themeColor="text1"/>
          <w:sz w:val="21"/>
          <w:szCs w:val="21"/>
        </w:rPr>
        <w:t>Guillain</w:t>
      </w:r>
      <w:proofErr w:type="spellEnd"/>
      <w:r w:rsidRPr="00755F49">
        <w:rPr>
          <w:bCs/>
          <w:color w:val="000000" w:themeColor="text1"/>
          <w:sz w:val="21"/>
          <w:szCs w:val="21"/>
        </w:rPr>
        <w:t xml:space="preserve"> </w:t>
      </w:r>
      <w:proofErr w:type="spellStart"/>
      <w:r w:rsidRPr="00755F49">
        <w:rPr>
          <w:bCs/>
          <w:color w:val="000000" w:themeColor="text1"/>
          <w:sz w:val="21"/>
          <w:szCs w:val="21"/>
        </w:rPr>
        <w:t>Barre</w:t>
      </w:r>
      <w:proofErr w:type="spellEnd"/>
      <w:r w:rsidRPr="00755F49">
        <w:rPr>
          <w:bCs/>
          <w:color w:val="000000" w:themeColor="text1"/>
          <w:sz w:val="21"/>
          <w:szCs w:val="21"/>
        </w:rPr>
        <w:t xml:space="preserve"> Syndrome, EMG findings, CSF findings, agreement</w:t>
      </w:r>
    </w:p>
    <w:p w:rsidR="007C5476" w:rsidRPr="00755F49" w:rsidRDefault="007C5476" w:rsidP="00755F49">
      <w:pPr>
        <w:tabs>
          <w:tab w:val="left" w:pos="432"/>
        </w:tabs>
        <w:jc w:val="both"/>
        <w:rPr>
          <w:bCs/>
          <w:color w:val="000000" w:themeColor="text1"/>
          <w:sz w:val="21"/>
          <w:szCs w:val="21"/>
        </w:rPr>
      </w:pPr>
    </w:p>
    <w:p w:rsidR="007C5476" w:rsidRPr="00755F49" w:rsidRDefault="007C5476" w:rsidP="00755F49">
      <w:pPr>
        <w:tabs>
          <w:tab w:val="left" w:pos="432"/>
        </w:tabs>
        <w:jc w:val="both"/>
        <w:rPr>
          <w:bCs/>
          <w:color w:val="000000" w:themeColor="text1"/>
          <w:sz w:val="21"/>
          <w:szCs w:val="21"/>
        </w:rPr>
        <w:sectPr w:rsidR="007C5476" w:rsidRPr="00755F49" w:rsidSect="007C5476">
          <w:pgSz w:w="12240" w:h="15840" w:code="1"/>
          <w:pgMar w:top="1440" w:right="1008" w:bottom="1440" w:left="1296" w:header="720" w:footer="720" w:gutter="0"/>
          <w:cols w:space="720"/>
          <w:titlePg/>
          <w:docGrid w:linePitch="360"/>
        </w:sectPr>
      </w:pPr>
    </w:p>
    <w:p w:rsidR="007C5476" w:rsidRPr="00755F49" w:rsidRDefault="007C5476" w:rsidP="00755F49">
      <w:pPr>
        <w:tabs>
          <w:tab w:val="left" w:pos="432"/>
        </w:tabs>
        <w:jc w:val="both"/>
        <w:rPr>
          <w:b/>
          <w:color w:val="000000" w:themeColor="text1"/>
          <w:sz w:val="25"/>
          <w:szCs w:val="21"/>
        </w:rPr>
      </w:pPr>
      <w:r w:rsidRPr="00755F49">
        <w:rPr>
          <w:b/>
          <w:color w:val="000000" w:themeColor="text1"/>
          <w:sz w:val="25"/>
          <w:szCs w:val="21"/>
        </w:rPr>
        <w:lastRenderedPageBreak/>
        <w:t>INTRODUCTION</w:t>
      </w:r>
    </w:p>
    <w:p w:rsidR="007C5476" w:rsidRPr="00755F49" w:rsidRDefault="007C5476" w:rsidP="00755F49">
      <w:pPr>
        <w:tabs>
          <w:tab w:val="left" w:pos="432"/>
        </w:tabs>
        <w:jc w:val="both"/>
        <w:rPr>
          <w:bCs/>
          <w:color w:val="000000" w:themeColor="text1"/>
          <w:sz w:val="21"/>
          <w:szCs w:val="21"/>
          <w:vertAlign w:val="superscript"/>
        </w:rPr>
      </w:pPr>
      <w:proofErr w:type="spellStart"/>
      <w:r w:rsidRPr="00755F49">
        <w:rPr>
          <w:color w:val="000000" w:themeColor="text1"/>
          <w:sz w:val="21"/>
          <w:szCs w:val="21"/>
        </w:rPr>
        <w:t>Guillain</w:t>
      </w:r>
      <w:proofErr w:type="spellEnd"/>
      <w:r w:rsidRPr="00755F49">
        <w:rPr>
          <w:color w:val="000000" w:themeColor="text1"/>
          <w:sz w:val="21"/>
          <w:szCs w:val="21"/>
        </w:rPr>
        <w:t xml:space="preserve"> </w:t>
      </w:r>
      <w:proofErr w:type="spellStart"/>
      <w:r w:rsidRPr="00755F49">
        <w:rPr>
          <w:color w:val="000000" w:themeColor="text1"/>
          <w:sz w:val="21"/>
          <w:szCs w:val="21"/>
        </w:rPr>
        <w:t>Barre</w:t>
      </w:r>
      <w:proofErr w:type="spellEnd"/>
      <w:r w:rsidRPr="00755F49">
        <w:rPr>
          <w:color w:val="000000" w:themeColor="text1"/>
          <w:sz w:val="21"/>
          <w:szCs w:val="21"/>
        </w:rPr>
        <w:t xml:space="preserve"> Syndrome (GBS) is a post infectious polyneuropathy involving mainly motor nerves but sometimes also involves the sensory and autonomic nerves. This syndrome affects people of all ages and has been reported throughout the world.</w:t>
      </w:r>
      <w:r w:rsidRPr="00755F49">
        <w:rPr>
          <w:bCs/>
          <w:color w:val="000000" w:themeColor="text1"/>
          <w:sz w:val="21"/>
          <w:szCs w:val="21"/>
          <w:vertAlign w:val="superscript"/>
        </w:rPr>
        <w:t>1</w:t>
      </w:r>
      <w:r w:rsidRPr="00755F49">
        <w:rPr>
          <w:color w:val="000000" w:themeColor="text1"/>
          <w:sz w:val="21"/>
          <w:szCs w:val="21"/>
        </w:rPr>
        <w:t xml:space="preserve"> Most of the GBS patients have a demyelinating neuropathy but primarily axonal degeneration is documented in some cases.</w:t>
      </w:r>
      <w:r w:rsidRPr="00755F49">
        <w:rPr>
          <w:bCs/>
          <w:color w:val="000000" w:themeColor="text1"/>
          <w:sz w:val="21"/>
          <w:szCs w:val="21"/>
          <w:vertAlign w:val="superscript"/>
        </w:rPr>
        <w:t>1</w:t>
      </w:r>
    </w:p>
    <w:p w:rsidR="007C5476" w:rsidRPr="00755F49" w:rsidRDefault="007C5476" w:rsidP="00755F49">
      <w:pPr>
        <w:tabs>
          <w:tab w:val="left" w:pos="432"/>
        </w:tabs>
        <w:jc w:val="both"/>
        <w:rPr>
          <w:bCs/>
          <w:color w:val="000000" w:themeColor="text1"/>
          <w:sz w:val="21"/>
          <w:szCs w:val="21"/>
          <w:vertAlign w:val="superscript"/>
        </w:rPr>
      </w:pPr>
      <w:r w:rsidRPr="00755F49">
        <w:rPr>
          <w:color w:val="000000" w:themeColor="text1"/>
          <w:sz w:val="21"/>
          <w:szCs w:val="21"/>
        </w:rPr>
        <w:tab/>
        <w:t>Paralysis usually follow a nonspecific viral infection, 1-3 weeks prior to the onset of weakness.</w:t>
      </w:r>
      <w:r w:rsidRPr="00755F49">
        <w:rPr>
          <w:bCs/>
          <w:color w:val="000000" w:themeColor="text1"/>
          <w:sz w:val="21"/>
          <w:szCs w:val="21"/>
          <w:vertAlign w:val="superscript"/>
        </w:rPr>
        <w:t>2</w:t>
      </w:r>
      <w:proofErr w:type="gramStart"/>
      <w:r w:rsidRPr="00755F49">
        <w:rPr>
          <w:bCs/>
          <w:color w:val="000000" w:themeColor="text1"/>
          <w:sz w:val="21"/>
          <w:szCs w:val="21"/>
          <w:vertAlign w:val="superscript"/>
        </w:rPr>
        <w:t>,3</w:t>
      </w:r>
      <w:proofErr w:type="gramEnd"/>
      <w:r w:rsidRPr="00755F49">
        <w:rPr>
          <w:color w:val="000000" w:themeColor="text1"/>
          <w:sz w:val="21"/>
          <w:szCs w:val="21"/>
        </w:rPr>
        <w:t xml:space="preserve"> The original infection may occur in gastrointestinal tract (GIT), (especially by campylobacter </w:t>
      </w:r>
      <w:proofErr w:type="spellStart"/>
      <w:r w:rsidRPr="00755F49">
        <w:rPr>
          <w:color w:val="000000" w:themeColor="text1"/>
          <w:sz w:val="21"/>
          <w:szCs w:val="21"/>
        </w:rPr>
        <w:t>jejuni</w:t>
      </w:r>
      <w:proofErr w:type="spellEnd"/>
      <w:r w:rsidRPr="00755F49">
        <w:rPr>
          <w:color w:val="000000" w:themeColor="text1"/>
          <w:sz w:val="21"/>
          <w:szCs w:val="21"/>
        </w:rPr>
        <w:t xml:space="preserve">, </w:t>
      </w:r>
      <w:proofErr w:type="spellStart"/>
      <w:r w:rsidRPr="00755F49">
        <w:rPr>
          <w:color w:val="000000" w:themeColor="text1"/>
          <w:sz w:val="21"/>
          <w:szCs w:val="21"/>
        </w:rPr>
        <w:t>helicobactor</w:t>
      </w:r>
      <w:proofErr w:type="spellEnd"/>
      <w:r w:rsidRPr="00755F49">
        <w:rPr>
          <w:color w:val="000000" w:themeColor="text1"/>
          <w:sz w:val="21"/>
          <w:szCs w:val="21"/>
        </w:rPr>
        <w:t xml:space="preserve"> pylori) or in respiratory tract (Mycoplasma </w:t>
      </w:r>
      <w:proofErr w:type="spellStart"/>
      <w:r w:rsidRPr="00755F49">
        <w:rPr>
          <w:color w:val="000000" w:themeColor="text1"/>
          <w:sz w:val="21"/>
          <w:szCs w:val="21"/>
        </w:rPr>
        <w:t>pneumonae</w:t>
      </w:r>
      <w:proofErr w:type="spellEnd"/>
      <w:r w:rsidRPr="00755F49">
        <w:rPr>
          <w:color w:val="000000" w:themeColor="text1"/>
          <w:sz w:val="21"/>
          <w:szCs w:val="21"/>
        </w:rPr>
        <w:t>). Vaccines have also been linked to GBS.</w:t>
      </w:r>
      <w:r w:rsidRPr="00755F49">
        <w:rPr>
          <w:bCs/>
          <w:color w:val="000000" w:themeColor="text1"/>
          <w:sz w:val="21"/>
          <w:szCs w:val="21"/>
          <w:vertAlign w:val="superscript"/>
        </w:rPr>
        <w:t>4</w:t>
      </w:r>
    </w:p>
    <w:p w:rsidR="007C5476" w:rsidRPr="00755F49" w:rsidRDefault="007C5476" w:rsidP="00755F49">
      <w:pPr>
        <w:tabs>
          <w:tab w:val="left" w:pos="432"/>
        </w:tabs>
        <w:jc w:val="both"/>
        <w:rPr>
          <w:color w:val="000000" w:themeColor="text1"/>
          <w:sz w:val="21"/>
          <w:szCs w:val="21"/>
          <w:vertAlign w:val="superscript"/>
        </w:rPr>
      </w:pPr>
      <w:r w:rsidRPr="00755F49">
        <w:rPr>
          <w:color w:val="000000" w:themeColor="text1"/>
          <w:sz w:val="21"/>
          <w:szCs w:val="21"/>
        </w:rPr>
        <w:tab/>
        <w:t>The onset is gradual and progresses over days or weeks. Weakness begins in the lower extremities and may involve the trunk, upper limb and finally the bulbar muscles. Initially weakness can cause inability to walk and later to flaccid tetraplegia. Tendon reflexes are lost usually early in the course. Dysphagia and facial weakness are impending sings of respiratory failure. Recovery usually begins</w:t>
      </w:r>
      <w:r w:rsidRPr="00755F49">
        <w:rPr>
          <w:bCs/>
          <w:color w:val="000000" w:themeColor="text1"/>
          <w:sz w:val="21"/>
          <w:szCs w:val="21"/>
        </w:rPr>
        <w:t xml:space="preserve"> 2-4 weeks after the progressive phase.</w:t>
      </w:r>
      <w:r w:rsidRPr="00755F49">
        <w:rPr>
          <w:color w:val="000000" w:themeColor="text1"/>
          <w:sz w:val="21"/>
          <w:szCs w:val="21"/>
          <w:vertAlign w:val="superscript"/>
        </w:rPr>
        <w:t>5</w:t>
      </w:r>
      <w:proofErr w:type="gramStart"/>
      <w:r w:rsidRPr="00755F49">
        <w:rPr>
          <w:color w:val="000000" w:themeColor="text1"/>
          <w:sz w:val="21"/>
          <w:szCs w:val="21"/>
          <w:vertAlign w:val="superscript"/>
        </w:rPr>
        <w:t>,6</w:t>
      </w:r>
      <w:proofErr w:type="gramEnd"/>
    </w:p>
    <w:p w:rsidR="007C5476" w:rsidRPr="00755F49" w:rsidRDefault="007C5476" w:rsidP="00755F49">
      <w:pPr>
        <w:tabs>
          <w:tab w:val="left" w:pos="432"/>
        </w:tabs>
        <w:jc w:val="both"/>
        <w:rPr>
          <w:bCs/>
          <w:color w:val="000000" w:themeColor="text1"/>
          <w:sz w:val="21"/>
          <w:szCs w:val="21"/>
          <w:vertAlign w:val="superscript"/>
        </w:rPr>
      </w:pPr>
      <w:r w:rsidRPr="00755F49">
        <w:rPr>
          <w:color w:val="000000" w:themeColor="text1"/>
          <w:sz w:val="21"/>
          <w:szCs w:val="21"/>
        </w:rPr>
        <w:lastRenderedPageBreak/>
        <w:tab/>
        <w:t xml:space="preserve">CSF studies are helpful for the diagnosis. CSF proteins are elevated to more than twice the upper normal limits. Glucose level is normal and there is no </w:t>
      </w:r>
      <w:proofErr w:type="spellStart"/>
      <w:r w:rsidRPr="00755F49">
        <w:rPr>
          <w:color w:val="000000" w:themeColor="text1"/>
          <w:sz w:val="21"/>
          <w:szCs w:val="21"/>
        </w:rPr>
        <w:t>pleocytosis</w:t>
      </w:r>
      <w:proofErr w:type="spellEnd"/>
      <w:r w:rsidRPr="00755F49">
        <w:rPr>
          <w:color w:val="000000" w:themeColor="text1"/>
          <w:sz w:val="21"/>
          <w:szCs w:val="21"/>
        </w:rPr>
        <w:t>. Fewer than 10 WBCs per cubic millimeter are found. There is relatively increased CSF protein (46-300mg/dl) and low cellular count (&lt;10/</w:t>
      </w:r>
      <w:proofErr w:type="spellStart"/>
      <w:r w:rsidRPr="00755F49">
        <w:rPr>
          <w:color w:val="000000" w:themeColor="text1"/>
          <w:sz w:val="21"/>
          <w:szCs w:val="21"/>
        </w:rPr>
        <w:t>cmm</w:t>
      </w:r>
      <w:proofErr w:type="spellEnd"/>
      <w:r w:rsidRPr="00755F49">
        <w:rPr>
          <w:color w:val="000000" w:themeColor="text1"/>
          <w:sz w:val="21"/>
          <w:szCs w:val="21"/>
        </w:rPr>
        <w:t>) in about 80% of patients with GBS. Elevated Cerebrospinal fluid protein is seen in most of the patients particularly after first week of illness due to breakdown of blood nerve barrier within the subarachnoid space.</w:t>
      </w:r>
      <w:r w:rsidRPr="00755F49">
        <w:rPr>
          <w:bCs/>
          <w:color w:val="000000" w:themeColor="text1"/>
          <w:sz w:val="21"/>
          <w:szCs w:val="21"/>
          <w:vertAlign w:val="superscript"/>
        </w:rPr>
        <w:t>7</w:t>
      </w:r>
      <w:proofErr w:type="gramStart"/>
      <w:r w:rsidRPr="00755F49">
        <w:rPr>
          <w:bCs/>
          <w:color w:val="000000" w:themeColor="text1"/>
          <w:sz w:val="21"/>
          <w:szCs w:val="21"/>
          <w:vertAlign w:val="superscript"/>
        </w:rPr>
        <w:t>,8</w:t>
      </w:r>
      <w:proofErr w:type="gramEnd"/>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 xml:space="preserve">Motor nerve conduction velocities are greatly reduced and sensory nerve conduction time is often slow during second week of illness. Electromyography (EMG) shows evidence of acute denervation of muscles. EMG is comparable with CSF for diagnosis of GBS </w:t>
      </w:r>
      <w:proofErr w:type="gramStart"/>
      <w:r w:rsidRPr="00755F49">
        <w:rPr>
          <w:color w:val="000000" w:themeColor="text1"/>
          <w:sz w:val="21"/>
          <w:szCs w:val="21"/>
        </w:rPr>
        <w:t>But</w:t>
      </w:r>
      <w:proofErr w:type="gramEnd"/>
      <w:r w:rsidRPr="00755F49">
        <w:rPr>
          <w:color w:val="000000" w:themeColor="text1"/>
          <w:sz w:val="21"/>
          <w:szCs w:val="21"/>
        </w:rPr>
        <w:t xml:space="preserve"> EMG is costly and is not available in many places. On the other hand CSF is a cheaper and readily available modality so it can be used as alternating method where EMG studies </w:t>
      </w:r>
      <w:proofErr w:type="spellStart"/>
      <w:r w:rsidRPr="00755F49">
        <w:rPr>
          <w:color w:val="000000" w:themeColor="text1"/>
          <w:sz w:val="21"/>
          <w:szCs w:val="21"/>
        </w:rPr>
        <w:t>can not</w:t>
      </w:r>
      <w:proofErr w:type="spellEnd"/>
      <w:r w:rsidRPr="00755F49">
        <w:rPr>
          <w:color w:val="000000" w:themeColor="text1"/>
          <w:sz w:val="21"/>
          <w:szCs w:val="21"/>
        </w:rPr>
        <w:t xml:space="preserve"> be done.</w:t>
      </w:r>
      <w:r w:rsidRPr="00755F49">
        <w:rPr>
          <w:color w:val="000000" w:themeColor="text1"/>
          <w:sz w:val="21"/>
          <w:szCs w:val="21"/>
          <w:vertAlign w:val="superscript"/>
        </w:rPr>
        <w:t xml:space="preserve"> </w:t>
      </w:r>
      <w:r w:rsidRPr="00755F49">
        <w:rPr>
          <w:color w:val="000000" w:themeColor="text1"/>
          <w:sz w:val="21"/>
          <w:szCs w:val="21"/>
        </w:rPr>
        <w:t>EMG shows positive findings in 95% of the patients while CSF abnormalities(</w:t>
      </w:r>
      <w:proofErr w:type="spellStart"/>
      <w:r w:rsidRPr="00755F49">
        <w:rPr>
          <w:color w:val="000000" w:themeColor="text1"/>
          <w:sz w:val="21"/>
          <w:szCs w:val="21"/>
        </w:rPr>
        <w:t>cytoalbuminal</w:t>
      </w:r>
      <w:proofErr w:type="spellEnd"/>
      <w:r w:rsidRPr="00755F49">
        <w:rPr>
          <w:color w:val="000000" w:themeColor="text1"/>
          <w:sz w:val="21"/>
          <w:szCs w:val="21"/>
        </w:rPr>
        <w:t xml:space="preserve"> dissociation) is noted in 52% of the patients.</w:t>
      </w:r>
      <w:r w:rsidRPr="00755F49">
        <w:rPr>
          <w:bCs/>
          <w:color w:val="000000" w:themeColor="text1"/>
          <w:sz w:val="21"/>
          <w:szCs w:val="21"/>
          <w:vertAlign w:val="superscript"/>
        </w:rPr>
        <w:t>9</w:t>
      </w:r>
      <w:r w:rsidRPr="00755F49">
        <w:rPr>
          <w:color w:val="000000" w:themeColor="text1"/>
          <w:sz w:val="21"/>
          <w:szCs w:val="21"/>
        </w:rPr>
        <w:t xml:space="preserve"> No local studies are available in the literature so I want to explore the use of CSF </w:t>
      </w:r>
      <w:r w:rsidRPr="00755F49">
        <w:rPr>
          <w:color w:val="000000" w:themeColor="text1"/>
          <w:sz w:val="21"/>
          <w:szCs w:val="21"/>
        </w:rPr>
        <w:lastRenderedPageBreak/>
        <w:t>examination as an alternative to EMG studies for the diagnosis of GBS in our population.</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b/>
          <w:color w:val="000000" w:themeColor="text1"/>
          <w:sz w:val="25"/>
          <w:szCs w:val="21"/>
        </w:rPr>
      </w:pPr>
      <w:r w:rsidRPr="00755F49">
        <w:rPr>
          <w:b/>
          <w:color w:val="000000" w:themeColor="text1"/>
          <w:sz w:val="25"/>
          <w:szCs w:val="21"/>
        </w:rPr>
        <w:t>METHODOLOGY</w:t>
      </w:r>
    </w:p>
    <w:p w:rsidR="007C5476" w:rsidRPr="00755F49" w:rsidRDefault="007C5476" w:rsidP="00755F49">
      <w:pPr>
        <w:tabs>
          <w:tab w:val="left" w:pos="432"/>
        </w:tabs>
        <w:jc w:val="both"/>
        <w:rPr>
          <w:bCs/>
          <w:color w:val="000000" w:themeColor="text1"/>
          <w:sz w:val="21"/>
          <w:szCs w:val="21"/>
        </w:rPr>
      </w:pPr>
      <w:r w:rsidRPr="00755F49">
        <w:rPr>
          <w:color w:val="000000" w:themeColor="text1"/>
          <w:sz w:val="21"/>
          <w:szCs w:val="21"/>
        </w:rPr>
        <w:t xml:space="preserve">The calculated sample size is 120 cases with 95% confidence level, 9% margin of error and taking expected percentage of patients i.e. 52% between EMG &amp; CSF findings for diagnosis of </w:t>
      </w:r>
      <w:proofErr w:type="spellStart"/>
      <w:r w:rsidRPr="00755F49">
        <w:rPr>
          <w:color w:val="000000" w:themeColor="text1"/>
          <w:sz w:val="21"/>
          <w:szCs w:val="21"/>
        </w:rPr>
        <w:t>GBS.patients</w:t>
      </w:r>
      <w:proofErr w:type="spellEnd"/>
      <w:r w:rsidRPr="00755F49">
        <w:rPr>
          <w:color w:val="000000" w:themeColor="text1"/>
          <w:sz w:val="21"/>
          <w:szCs w:val="21"/>
        </w:rPr>
        <w:t xml:space="preserve"> included in study were between </w:t>
      </w:r>
      <w:r w:rsidRPr="00755F49">
        <w:rPr>
          <w:bCs/>
          <w:color w:val="000000" w:themeColor="text1"/>
          <w:sz w:val="21"/>
          <w:szCs w:val="21"/>
        </w:rPr>
        <w:t xml:space="preserve">1 to 10 years of </w:t>
      </w:r>
      <w:proofErr w:type="spellStart"/>
      <w:r w:rsidRPr="00755F49">
        <w:rPr>
          <w:bCs/>
          <w:color w:val="000000" w:themeColor="text1"/>
          <w:sz w:val="21"/>
          <w:szCs w:val="21"/>
        </w:rPr>
        <w:t>age</w:t>
      </w:r>
      <w:proofErr w:type="gramStart"/>
      <w:r w:rsidRPr="00755F49">
        <w:rPr>
          <w:bCs/>
          <w:color w:val="000000" w:themeColor="text1"/>
          <w:sz w:val="21"/>
          <w:szCs w:val="21"/>
        </w:rPr>
        <w:t>,both</w:t>
      </w:r>
      <w:proofErr w:type="spellEnd"/>
      <w:proofErr w:type="gramEnd"/>
      <w:r w:rsidRPr="00755F49">
        <w:rPr>
          <w:bCs/>
          <w:color w:val="000000" w:themeColor="text1"/>
          <w:sz w:val="21"/>
          <w:szCs w:val="21"/>
        </w:rPr>
        <w:t xml:space="preserve"> male and females and all suspected cases of GBS as per operational definition. Patients who were on artificial ventilation or having signs of meningeal irritation (Neck stiffness, </w:t>
      </w:r>
      <w:proofErr w:type="spellStart"/>
      <w:r w:rsidRPr="00755F49">
        <w:rPr>
          <w:bCs/>
          <w:color w:val="000000" w:themeColor="text1"/>
          <w:sz w:val="21"/>
          <w:szCs w:val="21"/>
        </w:rPr>
        <w:t>Kernig’s</w:t>
      </w:r>
      <w:proofErr w:type="spellEnd"/>
      <w:r w:rsidRPr="00755F49">
        <w:rPr>
          <w:bCs/>
          <w:color w:val="000000" w:themeColor="text1"/>
          <w:sz w:val="21"/>
          <w:szCs w:val="21"/>
        </w:rPr>
        <w:t xml:space="preserve"> sign, </w:t>
      </w:r>
      <w:proofErr w:type="spellStart"/>
      <w:proofErr w:type="gramStart"/>
      <w:r w:rsidRPr="00755F49">
        <w:rPr>
          <w:bCs/>
          <w:color w:val="000000" w:themeColor="text1"/>
          <w:sz w:val="21"/>
          <w:szCs w:val="21"/>
        </w:rPr>
        <w:t>Brudzinski</w:t>
      </w:r>
      <w:proofErr w:type="spellEnd"/>
      <w:proofErr w:type="gramEnd"/>
      <w:r w:rsidRPr="00755F49">
        <w:rPr>
          <w:bCs/>
          <w:color w:val="000000" w:themeColor="text1"/>
          <w:sz w:val="21"/>
          <w:szCs w:val="21"/>
        </w:rPr>
        <w:t xml:space="preserve"> sign) were excluded from the study.</w:t>
      </w:r>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 xml:space="preserve">120 patients presenting to the </w:t>
      </w:r>
      <w:proofErr w:type="gramStart"/>
      <w:r w:rsidRPr="00755F49">
        <w:rPr>
          <w:color w:val="000000" w:themeColor="text1"/>
          <w:sz w:val="21"/>
          <w:szCs w:val="21"/>
        </w:rPr>
        <w:t>Neurology  Department</w:t>
      </w:r>
      <w:proofErr w:type="gramEnd"/>
      <w:r w:rsidRPr="00755F49">
        <w:rPr>
          <w:color w:val="000000" w:themeColor="text1"/>
          <w:sz w:val="21"/>
          <w:szCs w:val="21"/>
        </w:rPr>
        <w:t xml:space="preserve"> and Medical ICU, The Children Hospital Lahore fulfilling the inclusion criteria were enrolled in the study, after taking an informed consent and </w:t>
      </w:r>
      <w:proofErr w:type="spellStart"/>
      <w:r w:rsidRPr="00755F49">
        <w:rPr>
          <w:color w:val="000000" w:themeColor="text1"/>
          <w:sz w:val="21"/>
          <w:szCs w:val="21"/>
        </w:rPr>
        <w:t>biodata</w:t>
      </w:r>
      <w:proofErr w:type="spellEnd"/>
      <w:r w:rsidRPr="00755F49">
        <w:rPr>
          <w:color w:val="000000" w:themeColor="text1"/>
          <w:sz w:val="21"/>
          <w:szCs w:val="21"/>
        </w:rPr>
        <w:t xml:space="preserve">. Demographic profile </w:t>
      </w:r>
      <w:proofErr w:type="gramStart"/>
      <w:r w:rsidRPr="00755F49">
        <w:rPr>
          <w:color w:val="000000" w:themeColor="text1"/>
          <w:sz w:val="21"/>
          <w:szCs w:val="21"/>
        </w:rPr>
        <w:t>including  age</w:t>
      </w:r>
      <w:proofErr w:type="gramEnd"/>
      <w:r w:rsidRPr="00755F49">
        <w:rPr>
          <w:color w:val="000000" w:themeColor="text1"/>
          <w:sz w:val="21"/>
          <w:szCs w:val="21"/>
        </w:rPr>
        <w:t xml:space="preserve">, gender and address were recorded. EMG was conducted by a senior Neurologist in The Children’s Hospital in which conduction velocities of motor and sensory nerves of lower and upper limbs and amplitude of compound motor action potential (CAMP’s) were checked using a specific machine by electrical stimulation. After ten days of start of disease lumbar puncture was done with aseptic measures by the researcher and was sent to the central laboratory of the hospital for analysis of positive CSF. All data was entered on a pre-designed </w:t>
      </w:r>
      <w:proofErr w:type="spellStart"/>
      <w:r w:rsidRPr="00755F49">
        <w:rPr>
          <w:color w:val="000000" w:themeColor="text1"/>
          <w:sz w:val="21"/>
          <w:szCs w:val="21"/>
        </w:rPr>
        <w:t>Proforma</w:t>
      </w:r>
      <w:proofErr w:type="spellEnd"/>
      <w:r w:rsidRPr="00755F49">
        <w:rPr>
          <w:color w:val="000000" w:themeColor="text1"/>
          <w:sz w:val="21"/>
          <w:szCs w:val="21"/>
        </w:rPr>
        <w:t xml:space="preserve">. </w:t>
      </w:r>
      <w:proofErr w:type="gramStart"/>
      <w:r w:rsidRPr="00755F49">
        <w:rPr>
          <w:color w:val="000000" w:themeColor="text1"/>
          <w:sz w:val="21"/>
          <w:szCs w:val="21"/>
        </w:rPr>
        <w:t>Both EMG &amp; CSF findings were interpreted as positive or</w:t>
      </w:r>
      <w:proofErr w:type="gramEnd"/>
      <w:r w:rsidRPr="00755F49">
        <w:rPr>
          <w:color w:val="000000" w:themeColor="text1"/>
          <w:sz w:val="21"/>
          <w:szCs w:val="21"/>
        </w:rPr>
        <w:t xml:space="preserve"> negative (as per operational definition) for determination of agreement for the diagnosis of GBS.</w:t>
      </w:r>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The acquired data was entered and analyzed through SPSS Version 10.0. Variables studied included age and gender. Mean and Standard Deviation was calculated for quantitative variables like age. Frequencies and Percentages were calculated for qualitative variables like gender. Agreement between EMG findings and CSF findings were calculated as frequency and percentage. Kappa statistics was used to determine the strength of agreement between EMG and CSF findings for the diagnosis of GBS.</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b/>
          <w:color w:val="000000" w:themeColor="text1"/>
          <w:sz w:val="25"/>
          <w:szCs w:val="21"/>
        </w:rPr>
      </w:pPr>
      <w:r w:rsidRPr="00755F49">
        <w:rPr>
          <w:b/>
          <w:color w:val="000000" w:themeColor="text1"/>
          <w:sz w:val="25"/>
          <w:szCs w:val="21"/>
        </w:rPr>
        <w:t>RESULTS</w:t>
      </w:r>
    </w:p>
    <w:p w:rsidR="007C5476" w:rsidRPr="00755F49" w:rsidRDefault="007C5476" w:rsidP="00755F49">
      <w:pPr>
        <w:tabs>
          <w:tab w:val="left" w:pos="432"/>
        </w:tabs>
        <w:jc w:val="both"/>
        <w:rPr>
          <w:color w:val="000000" w:themeColor="text1"/>
          <w:sz w:val="21"/>
          <w:szCs w:val="21"/>
        </w:rPr>
      </w:pPr>
      <w:r w:rsidRPr="00755F49">
        <w:rPr>
          <w:bCs/>
          <w:color w:val="000000" w:themeColor="text1"/>
          <w:sz w:val="21"/>
          <w:szCs w:val="21"/>
        </w:rPr>
        <w:t xml:space="preserve">The mean age of the patients was 5.6±2.8 years. There were 20 (16.7%) patients in the age range of 1.0 to 2.0 years, 26 (21.7%) patients in the age range of 2.1-4.0 years, 26 (21.7%) patients in the age range of 4.1-6.0 years, 21 (17.5%) patients in the age range of 6.1-8.0 years, 27 (22.5%) patients in the age range of 8.1-10.0 years (Table 1).In the distribution of patients by sex, there were 72 (60.0%) male patients and 48 (40.0%) female patients (Table 2).In the distribution of patients </w:t>
      </w:r>
      <w:r w:rsidRPr="00755F49">
        <w:rPr>
          <w:bCs/>
          <w:color w:val="000000" w:themeColor="text1"/>
          <w:sz w:val="21"/>
          <w:szCs w:val="21"/>
        </w:rPr>
        <w:lastRenderedPageBreak/>
        <w:t>by EMG finding 116 (96.7%) patients had positive findings and 4 (3.3%) patients had negative findings (Table 3).In the distribution of patients by CSF finding 66 (55%) patients had positive findings and 54 (45%) patients had negative findings (Table 4).In the distribution of patients with regard to confirmation of agreement, 64 (53.3%) patients had been confirmed as having agreement and 56 (46.7%) patients did not have confirmation of agreement (Table 5).In the distribution of patients by agreement between EMG finding and CSF finding, 116 (96.7%) EMG positive patients and 66 (55%) patients were positive with CSF finding with significant</w:t>
      </w:r>
      <w:r w:rsidR="00755F49">
        <w:rPr>
          <w:bCs/>
          <w:color w:val="000000" w:themeColor="text1"/>
          <w:sz w:val="21"/>
          <w:szCs w:val="21"/>
        </w:rPr>
        <w:t xml:space="preserve"> </w:t>
      </w:r>
      <w:r w:rsidRPr="00755F49">
        <w:rPr>
          <w:bCs/>
          <w:color w:val="000000" w:themeColor="text1"/>
          <w:sz w:val="21"/>
          <w:szCs w:val="21"/>
        </w:rPr>
        <w:t>p value of &lt;0.001 (Table 6).</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color w:val="000000" w:themeColor="text1"/>
          <w:sz w:val="21"/>
          <w:szCs w:val="21"/>
        </w:rPr>
      </w:pPr>
      <w:r w:rsidRPr="00755F49">
        <w:rPr>
          <w:b/>
          <w:color w:val="000000" w:themeColor="text1"/>
          <w:sz w:val="21"/>
          <w:szCs w:val="21"/>
        </w:rPr>
        <w:t>Table 1:</w:t>
      </w:r>
      <w:r w:rsidRPr="00755F49">
        <w:rPr>
          <w:color w:val="000000" w:themeColor="text1"/>
          <w:sz w:val="21"/>
          <w:szCs w:val="21"/>
        </w:rPr>
        <w:t xml:space="preserve"> Distribution of patients by </w:t>
      </w:r>
      <w:proofErr w:type="gramStart"/>
      <w:r w:rsidRPr="00755F49">
        <w:rPr>
          <w:color w:val="000000" w:themeColor="text1"/>
          <w:sz w:val="21"/>
          <w:szCs w:val="21"/>
        </w:rPr>
        <w:t>age(</w:t>
      </w:r>
      <w:proofErr w:type="gramEnd"/>
      <w:r w:rsidRPr="00755F49">
        <w:rPr>
          <w:color w:val="000000" w:themeColor="text1"/>
          <w:sz w:val="21"/>
          <w:szCs w:val="21"/>
        </w:rPr>
        <w:t>n=120)</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9"/>
        <w:gridCol w:w="1591"/>
        <w:gridCol w:w="1620"/>
      </w:tblGrid>
      <w:tr w:rsidR="00755F49" w:rsidRPr="00755F49" w:rsidTr="00755F49">
        <w:tc>
          <w:tcPr>
            <w:tcW w:w="1559" w:type="dxa"/>
          </w:tcPr>
          <w:p w:rsidR="007C5476" w:rsidRPr="00755F49" w:rsidRDefault="007C5476" w:rsidP="00755F49">
            <w:pPr>
              <w:tabs>
                <w:tab w:val="left" w:pos="432"/>
              </w:tabs>
              <w:jc w:val="both"/>
              <w:rPr>
                <w:b/>
                <w:bCs/>
                <w:color w:val="000000" w:themeColor="text1"/>
                <w:sz w:val="21"/>
                <w:szCs w:val="21"/>
              </w:rPr>
            </w:pPr>
            <w:r w:rsidRPr="00755F49">
              <w:rPr>
                <w:b/>
                <w:bCs/>
                <w:color w:val="000000" w:themeColor="text1"/>
                <w:sz w:val="21"/>
                <w:szCs w:val="21"/>
              </w:rPr>
              <w:t>Age (Years)</w:t>
            </w:r>
          </w:p>
        </w:tc>
        <w:tc>
          <w:tcPr>
            <w:tcW w:w="1591"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No. of patients</w:t>
            </w:r>
          </w:p>
        </w:tc>
        <w:tc>
          <w:tcPr>
            <w:tcW w:w="1620"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Percentage (%)</w:t>
            </w:r>
          </w:p>
        </w:tc>
      </w:tr>
      <w:tr w:rsidR="00755F49" w:rsidRPr="00755F49" w:rsidTr="00755F49">
        <w:tc>
          <w:tcPr>
            <w:tcW w:w="1559"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1.0-2.0</w:t>
            </w:r>
          </w:p>
        </w:tc>
        <w:tc>
          <w:tcPr>
            <w:tcW w:w="159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20</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16.7</w:t>
            </w:r>
          </w:p>
        </w:tc>
      </w:tr>
      <w:tr w:rsidR="00755F49" w:rsidRPr="00755F49" w:rsidTr="00755F49">
        <w:tc>
          <w:tcPr>
            <w:tcW w:w="1559"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2.1-4.0</w:t>
            </w:r>
          </w:p>
        </w:tc>
        <w:tc>
          <w:tcPr>
            <w:tcW w:w="159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26</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21.7</w:t>
            </w:r>
          </w:p>
        </w:tc>
      </w:tr>
      <w:tr w:rsidR="00755F49" w:rsidRPr="00755F49" w:rsidTr="00755F49">
        <w:tc>
          <w:tcPr>
            <w:tcW w:w="1559"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4.1-6.0</w:t>
            </w:r>
          </w:p>
        </w:tc>
        <w:tc>
          <w:tcPr>
            <w:tcW w:w="159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26</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21.7</w:t>
            </w:r>
          </w:p>
        </w:tc>
      </w:tr>
      <w:tr w:rsidR="00755F49" w:rsidRPr="00755F49" w:rsidTr="00755F49">
        <w:tc>
          <w:tcPr>
            <w:tcW w:w="1559"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6.1-8.0</w:t>
            </w:r>
          </w:p>
        </w:tc>
        <w:tc>
          <w:tcPr>
            <w:tcW w:w="159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21</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17.5</w:t>
            </w:r>
          </w:p>
        </w:tc>
      </w:tr>
      <w:tr w:rsidR="00755F49" w:rsidRPr="00755F49" w:rsidTr="00755F49">
        <w:tc>
          <w:tcPr>
            <w:tcW w:w="1559"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8.1-10.0</w:t>
            </w:r>
          </w:p>
        </w:tc>
        <w:tc>
          <w:tcPr>
            <w:tcW w:w="159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27</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22.5</w:t>
            </w:r>
          </w:p>
        </w:tc>
      </w:tr>
      <w:tr w:rsidR="00755F49" w:rsidRPr="00755F49" w:rsidTr="00755F49">
        <w:trPr>
          <w:cantSplit/>
        </w:trPr>
        <w:tc>
          <w:tcPr>
            <w:tcW w:w="1559" w:type="dxa"/>
          </w:tcPr>
          <w:p w:rsidR="007C5476" w:rsidRPr="00755F49" w:rsidRDefault="007C5476" w:rsidP="00755F49">
            <w:pPr>
              <w:tabs>
                <w:tab w:val="left" w:pos="432"/>
              </w:tabs>
              <w:jc w:val="both"/>
              <w:rPr>
                <w:bCs/>
                <w:color w:val="000000" w:themeColor="text1"/>
                <w:sz w:val="21"/>
                <w:szCs w:val="21"/>
              </w:rPr>
            </w:pPr>
            <w:proofErr w:type="spellStart"/>
            <w:r w:rsidRPr="00755F49">
              <w:rPr>
                <w:bCs/>
                <w:color w:val="000000" w:themeColor="text1"/>
                <w:sz w:val="21"/>
                <w:szCs w:val="21"/>
              </w:rPr>
              <w:t>Mean±SD</w:t>
            </w:r>
            <w:proofErr w:type="spellEnd"/>
          </w:p>
        </w:tc>
        <w:tc>
          <w:tcPr>
            <w:tcW w:w="3211" w:type="dxa"/>
            <w:gridSpan w:val="2"/>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5.6±2.8</w:t>
            </w:r>
          </w:p>
        </w:tc>
      </w:tr>
    </w:tbl>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Key:</w:t>
      </w:r>
    </w:p>
    <w:p w:rsidR="007C5476" w:rsidRPr="00755F49" w:rsidRDefault="007C5476" w:rsidP="00755F49">
      <w:pPr>
        <w:tabs>
          <w:tab w:val="left" w:pos="432"/>
        </w:tabs>
        <w:jc w:val="both"/>
        <w:rPr>
          <w:bCs/>
          <w:color w:val="000000" w:themeColor="text1"/>
          <w:sz w:val="21"/>
          <w:szCs w:val="21"/>
        </w:rPr>
      </w:pPr>
      <w:proofErr w:type="gramStart"/>
      <w:r w:rsidRPr="00755F49">
        <w:rPr>
          <w:bCs/>
          <w:color w:val="000000" w:themeColor="text1"/>
          <w:sz w:val="21"/>
          <w:szCs w:val="21"/>
        </w:rPr>
        <w:t>n</w:t>
      </w:r>
      <w:proofErr w:type="gramEnd"/>
      <w:r w:rsidRPr="00755F49">
        <w:rPr>
          <w:bCs/>
          <w:color w:val="000000" w:themeColor="text1"/>
          <w:sz w:val="21"/>
          <w:szCs w:val="21"/>
        </w:rPr>
        <w:tab/>
        <w:t>Number of patients</w:t>
      </w:r>
    </w:p>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D</w:t>
      </w:r>
      <w:r w:rsidRPr="00755F49">
        <w:rPr>
          <w:bCs/>
          <w:color w:val="000000" w:themeColor="text1"/>
          <w:sz w:val="21"/>
          <w:szCs w:val="21"/>
        </w:rPr>
        <w:tab/>
        <w:t>Standard deviation</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color w:val="000000" w:themeColor="text1"/>
          <w:sz w:val="21"/>
          <w:szCs w:val="21"/>
        </w:rPr>
      </w:pPr>
      <w:r w:rsidRPr="00755F49">
        <w:rPr>
          <w:b/>
          <w:color w:val="000000" w:themeColor="text1"/>
          <w:sz w:val="21"/>
          <w:szCs w:val="21"/>
        </w:rPr>
        <w:t xml:space="preserve">Table 2: </w:t>
      </w:r>
      <w:r w:rsidRPr="00755F49">
        <w:rPr>
          <w:color w:val="000000" w:themeColor="text1"/>
          <w:sz w:val="21"/>
          <w:szCs w:val="21"/>
        </w:rPr>
        <w:t>Distribution of patients by sex (n=120)</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0"/>
        <w:gridCol w:w="1620"/>
        <w:gridCol w:w="1620"/>
      </w:tblGrid>
      <w:tr w:rsidR="00755F49" w:rsidRPr="00755F49" w:rsidTr="00755F49">
        <w:tc>
          <w:tcPr>
            <w:tcW w:w="1530" w:type="dxa"/>
          </w:tcPr>
          <w:p w:rsidR="007C5476" w:rsidRPr="00755F49" w:rsidRDefault="007C5476" w:rsidP="00755F49">
            <w:pPr>
              <w:tabs>
                <w:tab w:val="left" w:pos="432"/>
              </w:tabs>
              <w:jc w:val="both"/>
              <w:rPr>
                <w:b/>
                <w:bCs/>
                <w:color w:val="000000" w:themeColor="text1"/>
                <w:sz w:val="21"/>
                <w:szCs w:val="21"/>
              </w:rPr>
            </w:pPr>
            <w:r w:rsidRPr="00755F49">
              <w:rPr>
                <w:b/>
                <w:bCs/>
                <w:color w:val="000000" w:themeColor="text1"/>
                <w:sz w:val="21"/>
                <w:szCs w:val="21"/>
              </w:rPr>
              <w:t>Sex</w:t>
            </w:r>
          </w:p>
        </w:tc>
        <w:tc>
          <w:tcPr>
            <w:tcW w:w="1620"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No. of patients</w:t>
            </w:r>
          </w:p>
        </w:tc>
        <w:tc>
          <w:tcPr>
            <w:tcW w:w="1620"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Percentage (%)</w:t>
            </w:r>
          </w:p>
        </w:tc>
      </w:tr>
      <w:tr w:rsidR="00755F49" w:rsidRPr="00755F49" w:rsidTr="00755F49">
        <w:tc>
          <w:tcPr>
            <w:tcW w:w="1530"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Male</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72</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60.0</w:t>
            </w:r>
          </w:p>
        </w:tc>
      </w:tr>
      <w:tr w:rsidR="00755F49" w:rsidRPr="00755F49" w:rsidTr="00755F49">
        <w:tc>
          <w:tcPr>
            <w:tcW w:w="1530"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Female</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48</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40.0</w:t>
            </w:r>
          </w:p>
        </w:tc>
      </w:tr>
      <w:tr w:rsidR="00755F49" w:rsidRPr="00755F49" w:rsidTr="00755F49">
        <w:tc>
          <w:tcPr>
            <w:tcW w:w="1530"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Total</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120</w:t>
            </w:r>
          </w:p>
        </w:tc>
        <w:tc>
          <w:tcPr>
            <w:tcW w:w="162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100.0</w:t>
            </w:r>
          </w:p>
        </w:tc>
      </w:tr>
    </w:tbl>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 xml:space="preserve">Key:     </w:t>
      </w:r>
      <w:r w:rsidRPr="00755F49">
        <w:rPr>
          <w:bCs/>
          <w:color w:val="000000" w:themeColor="text1"/>
          <w:sz w:val="21"/>
          <w:szCs w:val="21"/>
        </w:rPr>
        <w:t>n Number of patients</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color w:val="000000" w:themeColor="text1"/>
          <w:sz w:val="21"/>
          <w:szCs w:val="21"/>
        </w:rPr>
      </w:pPr>
      <w:r w:rsidRPr="00755F49">
        <w:rPr>
          <w:b/>
          <w:color w:val="000000" w:themeColor="text1"/>
          <w:sz w:val="21"/>
          <w:szCs w:val="21"/>
        </w:rPr>
        <w:t xml:space="preserve">Table 3: </w:t>
      </w:r>
      <w:r w:rsidRPr="00755F49">
        <w:rPr>
          <w:color w:val="000000" w:themeColor="text1"/>
          <w:sz w:val="21"/>
          <w:szCs w:val="21"/>
        </w:rPr>
        <w:t>Distribution of patients by EMG findings (n=120)</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8"/>
        <w:gridCol w:w="1583"/>
        <w:gridCol w:w="1741"/>
      </w:tblGrid>
      <w:tr w:rsidR="00755F49" w:rsidRPr="00755F49" w:rsidTr="00755F49">
        <w:tc>
          <w:tcPr>
            <w:tcW w:w="1518" w:type="dxa"/>
          </w:tcPr>
          <w:p w:rsidR="007C5476" w:rsidRPr="00755F49" w:rsidRDefault="007C5476" w:rsidP="00755F49">
            <w:pPr>
              <w:tabs>
                <w:tab w:val="left" w:pos="432"/>
              </w:tabs>
              <w:jc w:val="both"/>
              <w:rPr>
                <w:b/>
                <w:bCs/>
                <w:color w:val="000000" w:themeColor="text1"/>
                <w:sz w:val="21"/>
                <w:szCs w:val="21"/>
              </w:rPr>
            </w:pPr>
            <w:r w:rsidRPr="00755F49">
              <w:rPr>
                <w:b/>
                <w:bCs/>
                <w:color w:val="000000" w:themeColor="text1"/>
                <w:sz w:val="21"/>
                <w:szCs w:val="21"/>
              </w:rPr>
              <w:t>EMG finding</w:t>
            </w:r>
          </w:p>
        </w:tc>
        <w:tc>
          <w:tcPr>
            <w:tcW w:w="1583"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No. of patients</w:t>
            </w:r>
          </w:p>
        </w:tc>
        <w:tc>
          <w:tcPr>
            <w:tcW w:w="1741"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Percentage (%)</w:t>
            </w:r>
          </w:p>
        </w:tc>
      </w:tr>
      <w:tr w:rsidR="00755F49" w:rsidRPr="00755F49" w:rsidTr="00755F49">
        <w:tc>
          <w:tcPr>
            <w:tcW w:w="1518"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Positive</w:t>
            </w:r>
          </w:p>
        </w:tc>
        <w:tc>
          <w:tcPr>
            <w:tcW w:w="1583"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116</w:t>
            </w:r>
          </w:p>
        </w:tc>
        <w:tc>
          <w:tcPr>
            <w:tcW w:w="174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96.7</w:t>
            </w:r>
          </w:p>
        </w:tc>
      </w:tr>
      <w:tr w:rsidR="00755F49" w:rsidRPr="00755F49" w:rsidTr="00755F49">
        <w:tc>
          <w:tcPr>
            <w:tcW w:w="1518"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Negative</w:t>
            </w:r>
          </w:p>
        </w:tc>
        <w:tc>
          <w:tcPr>
            <w:tcW w:w="1583"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4</w:t>
            </w:r>
          </w:p>
        </w:tc>
        <w:tc>
          <w:tcPr>
            <w:tcW w:w="174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3.3</w:t>
            </w:r>
          </w:p>
        </w:tc>
      </w:tr>
      <w:tr w:rsidR="00755F49" w:rsidRPr="00755F49" w:rsidTr="00755F49">
        <w:tc>
          <w:tcPr>
            <w:tcW w:w="1518"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Total</w:t>
            </w:r>
          </w:p>
        </w:tc>
        <w:tc>
          <w:tcPr>
            <w:tcW w:w="1583"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120</w:t>
            </w:r>
          </w:p>
        </w:tc>
        <w:tc>
          <w:tcPr>
            <w:tcW w:w="174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100.0</w:t>
            </w:r>
          </w:p>
        </w:tc>
      </w:tr>
    </w:tbl>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Key:</w:t>
      </w:r>
    </w:p>
    <w:p w:rsidR="007C5476" w:rsidRPr="00755F49" w:rsidRDefault="007C5476" w:rsidP="00755F49">
      <w:pPr>
        <w:tabs>
          <w:tab w:val="left" w:pos="432"/>
        </w:tabs>
        <w:jc w:val="both"/>
        <w:rPr>
          <w:bCs/>
          <w:color w:val="000000" w:themeColor="text1"/>
          <w:sz w:val="21"/>
          <w:szCs w:val="21"/>
        </w:rPr>
      </w:pPr>
      <w:proofErr w:type="gramStart"/>
      <w:r w:rsidRPr="00755F49">
        <w:rPr>
          <w:bCs/>
          <w:color w:val="000000" w:themeColor="text1"/>
          <w:sz w:val="21"/>
          <w:szCs w:val="21"/>
        </w:rPr>
        <w:t>n</w:t>
      </w:r>
      <w:proofErr w:type="gramEnd"/>
      <w:r w:rsidRPr="00755F49">
        <w:rPr>
          <w:bCs/>
          <w:color w:val="000000" w:themeColor="text1"/>
          <w:sz w:val="21"/>
          <w:szCs w:val="21"/>
        </w:rPr>
        <w:tab/>
        <w:t>Number of patients</w:t>
      </w:r>
    </w:p>
    <w:p w:rsidR="007C5476" w:rsidRPr="00755F49" w:rsidRDefault="007C5476" w:rsidP="00755F49">
      <w:pPr>
        <w:tabs>
          <w:tab w:val="left" w:pos="432"/>
        </w:tabs>
        <w:jc w:val="both"/>
        <w:rPr>
          <w:color w:val="000000" w:themeColor="text1"/>
          <w:sz w:val="21"/>
          <w:szCs w:val="21"/>
        </w:rPr>
      </w:pPr>
      <w:r w:rsidRPr="00755F49">
        <w:rPr>
          <w:bCs/>
          <w:color w:val="000000" w:themeColor="text1"/>
          <w:sz w:val="21"/>
          <w:szCs w:val="21"/>
        </w:rPr>
        <w:t>EMG</w:t>
      </w:r>
      <w:r w:rsidRPr="00755F49">
        <w:rPr>
          <w:bCs/>
          <w:color w:val="000000" w:themeColor="text1"/>
          <w:sz w:val="21"/>
          <w:szCs w:val="21"/>
        </w:rPr>
        <w:tab/>
      </w:r>
      <w:r w:rsidRPr="00755F49">
        <w:rPr>
          <w:color w:val="000000" w:themeColor="text1"/>
          <w:sz w:val="21"/>
          <w:szCs w:val="21"/>
        </w:rPr>
        <w:t>Electromyography</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color w:val="000000" w:themeColor="text1"/>
          <w:sz w:val="21"/>
          <w:szCs w:val="21"/>
        </w:rPr>
      </w:pPr>
      <w:r w:rsidRPr="00755F49">
        <w:rPr>
          <w:b/>
          <w:color w:val="000000" w:themeColor="text1"/>
          <w:sz w:val="21"/>
          <w:szCs w:val="21"/>
        </w:rPr>
        <w:t xml:space="preserve">Table 4: </w:t>
      </w:r>
      <w:r w:rsidRPr="00755F49">
        <w:rPr>
          <w:color w:val="000000" w:themeColor="text1"/>
          <w:sz w:val="21"/>
          <w:szCs w:val="21"/>
        </w:rPr>
        <w:t>Distribution of patients by CSF findings (n=120)</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8"/>
        <w:gridCol w:w="1583"/>
        <w:gridCol w:w="1741"/>
      </w:tblGrid>
      <w:tr w:rsidR="00755F49" w:rsidRPr="00755F49" w:rsidTr="00755F49">
        <w:tc>
          <w:tcPr>
            <w:tcW w:w="1518" w:type="dxa"/>
          </w:tcPr>
          <w:p w:rsidR="007C5476" w:rsidRPr="00755F49" w:rsidRDefault="007C5476" w:rsidP="00755F49">
            <w:pPr>
              <w:tabs>
                <w:tab w:val="left" w:pos="432"/>
              </w:tabs>
              <w:jc w:val="both"/>
              <w:rPr>
                <w:b/>
                <w:bCs/>
                <w:color w:val="000000" w:themeColor="text1"/>
                <w:sz w:val="21"/>
                <w:szCs w:val="21"/>
              </w:rPr>
            </w:pPr>
            <w:r w:rsidRPr="00755F49">
              <w:rPr>
                <w:b/>
                <w:bCs/>
                <w:color w:val="000000" w:themeColor="text1"/>
                <w:sz w:val="21"/>
                <w:szCs w:val="21"/>
              </w:rPr>
              <w:t>CSF finding</w:t>
            </w:r>
          </w:p>
        </w:tc>
        <w:tc>
          <w:tcPr>
            <w:tcW w:w="1583"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No. of patients</w:t>
            </w:r>
          </w:p>
        </w:tc>
        <w:tc>
          <w:tcPr>
            <w:tcW w:w="1741"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Percentage (%)</w:t>
            </w:r>
          </w:p>
        </w:tc>
      </w:tr>
      <w:tr w:rsidR="00755F49" w:rsidRPr="00755F49" w:rsidTr="00755F49">
        <w:tc>
          <w:tcPr>
            <w:tcW w:w="1518"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Positive</w:t>
            </w:r>
          </w:p>
        </w:tc>
        <w:tc>
          <w:tcPr>
            <w:tcW w:w="1583"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66</w:t>
            </w:r>
          </w:p>
        </w:tc>
        <w:tc>
          <w:tcPr>
            <w:tcW w:w="174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55.0</w:t>
            </w:r>
          </w:p>
        </w:tc>
      </w:tr>
      <w:tr w:rsidR="00755F49" w:rsidRPr="00755F49" w:rsidTr="00755F49">
        <w:tc>
          <w:tcPr>
            <w:tcW w:w="1518"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Negative</w:t>
            </w:r>
          </w:p>
        </w:tc>
        <w:tc>
          <w:tcPr>
            <w:tcW w:w="1583"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54</w:t>
            </w:r>
          </w:p>
        </w:tc>
        <w:tc>
          <w:tcPr>
            <w:tcW w:w="174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45.0</w:t>
            </w:r>
          </w:p>
        </w:tc>
      </w:tr>
      <w:tr w:rsidR="00755F49" w:rsidRPr="00755F49" w:rsidTr="00755F49">
        <w:tc>
          <w:tcPr>
            <w:tcW w:w="1518"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Total</w:t>
            </w:r>
          </w:p>
        </w:tc>
        <w:tc>
          <w:tcPr>
            <w:tcW w:w="1583"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120</w:t>
            </w:r>
          </w:p>
        </w:tc>
        <w:tc>
          <w:tcPr>
            <w:tcW w:w="1741"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100.0</w:t>
            </w:r>
          </w:p>
        </w:tc>
      </w:tr>
    </w:tbl>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Key:</w:t>
      </w:r>
    </w:p>
    <w:p w:rsidR="007C5476" w:rsidRPr="00755F49" w:rsidRDefault="007C5476" w:rsidP="00755F49">
      <w:pPr>
        <w:tabs>
          <w:tab w:val="left" w:pos="432"/>
        </w:tabs>
        <w:jc w:val="both"/>
        <w:rPr>
          <w:bCs/>
          <w:color w:val="000000" w:themeColor="text1"/>
          <w:sz w:val="21"/>
          <w:szCs w:val="21"/>
        </w:rPr>
      </w:pPr>
      <w:proofErr w:type="gramStart"/>
      <w:r w:rsidRPr="00755F49">
        <w:rPr>
          <w:bCs/>
          <w:color w:val="000000" w:themeColor="text1"/>
          <w:sz w:val="21"/>
          <w:szCs w:val="21"/>
        </w:rPr>
        <w:t>n</w:t>
      </w:r>
      <w:proofErr w:type="gramEnd"/>
      <w:r w:rsidRPr="00755F49">
        <w:rPr>
          <w:bCs/>
          <w:color w:val="000000" w:themeColor="text1"/>
          <w:sz w:val="21"/>
          <w:szCs w:val="21"/>
        </w:rPr>
        <w:tab/>
        <w:t>Number of patients</w:t>
      </w:r>
    </w:p>
    <w:p w:rsidR="007C5476" w:rsidRPr="00755F49" w:rsidRDefault="007C5476" w:rsidP="00755F49">
      <w:pPr>
        <w:tabs>
          <w:tab w:val="left" w:pos="432"/>
        </w:tabs>
        <w:jc w:val="both"/>
        <w:rPr>
          <w:color w:val="000000" w:themeColor="text1"/>
          <w:sz w:val="21"/>
          <w:szCs w:val="21"/>
        </w:rPr>
      </w:pPr>
      <w:r w:rsidRPr="00755F49">
        <w:rPr>
          <w:bCs/>
          <w:color w:val="000000" w:themeColor="text1"/>
          <w:sz w:val="21"/>
          <w:szCs w:val="21"/>
        </w:rPr>
        <w:t>CSF</w:t>
      </w:r>
      <w:r w:rsidRPr="00755F49">
        <w:rPr>
          <w:bCs/>
          <w:color w:val="000000" w:themeColor="text1"/>
          <w:sz w:val="21"/>
          <w:szCs w:val="21"/>
        </w:rPr>
        <w:tab/>
        <w:t>Cerebrospinal fluid</w:t>
      </w:r>
    </w:p>
    <w:p w:rsidR="007C5476" w:rsidRPr="00755F49" w:rsidRDefault="007C5476" w:rsidP="00755F49">
      <w:pPr>
        <w:tabs>
          <w:tab w:val="left" w:pos="432"/>
        </w:tabs>
        <w:jc w:val="both"/>
        <w:rPr>
          <w:color w:val="000000" w:themeColor="text1"/>
          <w:sz w:val="21"/>
          <w:szCs w:val="21"/>
        </w:rPr>
      </w:pPr>
      <w:r w:rsidRPr="00755F49">
        <w:rPr>
          <w:b/>
          <w:color w:val="000000" w:themeColor="text1"/>
          <w:sz w:val="21"/>
          <w:szCs w:val="21"/>
        </w:rPr>
        <w:lastRenderedPageBreak/>
        <w:t>Table 5:</w:t>
      </w:r>
      <w:r w:rsidRPr="00755F49">
        <w:rPr>
          <w:color w:val="000000" w:themeColor="text1"/>
          <w:sz w:val="21"/>
          <w:szCs w:val="21"/>
        </w:rPr>
        <w:t xml:space="preserve"> Distribution </w:t>
      </w:r>
      <w:proofErr w:type="gramStart"/>
      <w:r w:rsidRPr="00755F49">
        <w:rPr>
          <w:color w:val="000000" w:themeColor="text1"/>
          <w:sz w:val="21"/>
          <w:szCs w:val="21"/>
        </w:rPr>
        <w:t>Of</w:t>
      </w:r>
      <w:proofErr w:type="gramEnd"/>
      <w:r w:rsidRPr="00755F49">
        <w:rPr>
          <w:color w:val="000000" w:themeColor="text1"/>
          <w:sz w:val="21"/>
          <w:szCs w:val="21"/>
        </w:rPr>
        <w:t xml:space="preserve"> Patients By Final Assessment Of Agreement (N=120)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1260"/>
        <w:gridCol w:w="1260"/>
      </w:tblGrid>
      <w:tr w:rsidR="00755F49" w:rsidRPr="00755F49" w:rsidTr="00755F49">
        <w:tc>
          <w:tcPr>
            <w:tcW w:w="2250" w:type="dxa"/>
          </w:tcPr>
          <w:p w:rsidR="007C5476" w:rsidRPr="00755F49" w:rsidRDefault="007C5476" w:rsidP="00755F49">
            <w:pPr>
              <w:tabs>
                <w:tab w:val="left" w:pos="432"/>
              </w:tabs>
              <w:rPr>
                <w:b/>
                <w:bCs/>
                <w:color w:val="000000" w:themeColor="text1"/>
                <w:sz w:val="21"/>
                <w:szCs w:val="21"/>
              </w:rPr>
            </w:pPr>
            <w:r w:rsidRPr="00755F49">
              <w:rPr>
                <w:b/>
                <w:bCs/>
                <w:color w:val="000000" w:themeColor="text1"/>
                <w:sz w:val="21"/>
                <w:szCs w:val="21"/>
              </w:rPr>
              <w:t>Final assessment of agreement</w:t>
            </w:r>
          </w:p>
        </w:tc>
        <w:tc>
          <w:tcPr>
            <w:tcW w:w="1260"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No. of patients</w:t>
            </w:r>
          </w:p>
        </w:tc>
        <w:tc>
          <w:tcPr>
            <w:tcW w:w="1260"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Percentage (%)</w:t>
            </w:r>
          </w:p>
        </w:tc>
      </w:tr>
      <w:tr w:rsidR="00755F49" w:rsidRPr="00755F49" w:rsidTr="00755F49">
        <w:tc>
          <w:tcPr>
            <w:tcW w:w="2250" w:type="dxa"/>
          </w:tcPr>
          <w:p w:rsidR="007C5476" w:rsidRPr="00755F49" w:rsidRDefault="007C5476" w:rsidP="00755F49">
            <w:pPr>
              <w:tabs>
                <w:tab w:val="left" w:pos="432"/>
              </w:tabs>
              <w:rPr>
                <w:bCs/>
                <w:color w:val="000000" w:themeColor="text1"/>
                <w:sz w:val="21"/>
                <w:szCs w:val="21"/>
              </w:rPr>
            </w:pPr>
            <w:r w:rsidRPr="00755F49">
              <w:rPr>
                <w:bCs/>
                <w:color w:val="000000" w:themeColor="text1"/>
                <w:sz w:val="21"/>
                <w:szCs w:val="21"/>
              </w:rPr>
              <w:t>Yes</w:t>
            </w:r>
          </w:p>
        </w:tc>
        <w:tc>
          <w:tcPr>
            <w:tcW w:w="126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64</w:t>
            </w:r>
          </w:p>
        </w:tc>
        <w:tc>
          <w:tcPr>
            <w:tcW w:w="126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53.3</w:t>
            </w:r>
          </w:p>
        </w:tc>
      </w:tr>
      <w:tr w:rsidR="00755F49" w:rsidRPr="00755F49" w:rsidTr="00755F49">
        <w:tc>
          <w:tcPr>
            <w:tcW w:w="2250" w:type="dxa"/>
          </w:tcPr>
          <w:p w:rsidR="007C5476" w:rsidRPr="00755F49" w:rsidRDefault="007C5476" w:rsidP="00755F49">
            <w:pPr>
              <w:tabs>
                <w:tab w:val="left" w:pos="432"/>
              </w:tabs>
              <w:rPr>
                <w:bCs/>
                <w:color w:val="000000" w:themeColor="text1"/>
                <w:sz w:val="21"/>
                <w:szCs w:val="21"/>
              </w:rPr>
            </w:pPr>
            <w:r w:rsidRPr="00755F49">
              <w:rPr>
                <w:bCs/>
                <w:color w:val="000000" w:themeColor="text1"/>
                <w:sz w:val="21"/>
                <w:szCs w:val="21"/>
              </w:rPr>
              <w:t>No</w:t>
            </w:r>
          </w:p>
        </w:tc>
        <w:tc>
          <w:tcPr>
            <w:tcW w:w="126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56</w:t>
            </w:r>
          </w:p>
        </w:tc>
        <w:tc>
          <w:tcPr>
            <w:tcW w:w="126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46.7</w:t>
            </w:r>
          </w:p>
        </w:tc>
      </w:tr>
      <w:tr w:rsidR="00755F49" w:rsidRPr="00755F49" w:rsidTr="00755F49">
        <w:tc>
          <w:tcPr>
            <w:tcW w:w="2250" w:type="dxa"/>
          </w:tcPr>
          <w:p w:rsidR="007C5476" w:rsidRPr="00755F49" w:rsidRDefault="007C5476" w:rsidP="00755F49">
            <w:pPr>
              <w:tabs>
                <w:tab w:val="left" w:pos="432"/>
              </w:tabs>
              <w:rPr>
                <w:bCs/>
                <w:color w:val="000000" w:themeColor="text1"/>
                <w:sz w:val="21"/>
                <w:szCs w:val="21"/>
              </w:rPr>
            </w:pPr>
            <w:r w:rsidRPr="00755F49">
              <w:rPr>
                <w:bCs/>
                <w:color w:val="000000" w:themeColor="text1"/>
                <w:sz w:val="21"/>
                <w:szCs w:val="21"/>
              </w:rPr>
              <w:t>Total</w:t>
            </w:r>
          </w:p>
        </w:tc>
        <w:tc>
          <w:tcPr>
            <w:tcW w:w="126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120</w:t>
            </w:r>
          </w:p>
        </w:tc>
        <w:tc>
          <w:tcPr>
            <w:tcW w:w="1260"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100.0</w:t>
            </w:r>
          </w:p>
        </w:tc>
      </w:tr>
    </w:tbl>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Key:</w:t>
      </w:r>
    </w:p>
    <w:p w:rsidR="007C5476" w:rsidRPr="00755F49" w:rsidRDefault="007C5476" w:rsidP="00755F49">
      <w:pPr>
        <w:tabs>
          <w:tab w:val="left" w:pos="432"/>
        </w:tabs>
        <w:jc w:val="both"/>
        <w:rPr>
          <w:bCs/>
          <w:color w:val="000000" w:themeColor="text1"/>
          <w:sz w:val="21"/>
          <w:szCs w:val="21"/>
        </w:rPr>
      </w:pPr>
      <w:proofErr w:type="gramStart"/>
      <w:r w:rsidRPr="00755F49">
        <w:rPr>
          <w:bCs/>
          <w:color w:val="000000" w:themeColor="text1"/>
          <w:sz w:val="21"/>
          <w:szCs w:val="21"/>
        </w:rPr>
        <w:t>n</w:t>
      </w:r>
      <w:proofErr w:type="gramEnd"/>
      <w:r w:rsidRPr="00755F49">
        <w:rPr>
          <w:bCs/>
          <w:color w:val="000000" w:themeColor="text1"/>
          <w:sz w:val="21"/>
          <w:szCs w:val="21"/>
        </w:rPr>
        <w:tab/>
        <w:t>Number of patients</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color w:val="000000" w:themeColor="text1"/>
          <w:sz w:val="21"/>
          <w:szCs w:val="21"/>
        </w:rPr>
      </w:pPr>
      <w:r w:rsidRPr="00755F49">
        <w:rPr>
          <w:b/>
          <w:color w:val="000000" w:themeColor="text1"/>
          <w:sz w:val="21"/>
          <w:szCs w:val="21"/>
        </w:rPr>
        <w:t>Table 6:</w:t>
      </w:r>
      <w:r w:rsidRPr="00755F49">
        <w:rPr>
          <w:color w:val="000000" w:themeColor="text1"/>
          <w:sz w:val="21"/>
          <w:szCs w:val="21"/>
        </w:rPr>
        <w:t xml:space="preserve"> Agreement between EMG finding and CSF finding (n=120)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764"/>
        <w:gridCol w:w="988"/>
        <w:gridCol w:w="764"/>
        <w:gridCol w:w="988"/>
        <w:gridCol w:w="540"/>
      </w:tblGrid>
      <w:tr w:rsidR="00755F49" w:rsidRPr="00755F49" w:rsidTr="00755F49">
        <w:trPr>
          <w:cantSplit/>
        </w:trPr>
        <w:tc>
          <w:tcPr>
            <w:tcW w:w="744" w:type="dxa"/>
            <w:vMerge w:val="restart"/>
          </w:tcPr>
          <w:p w:rsidR="007C5476" w:rsidRPr="00755F49" w:rsidRDefault="007C5476" w:rsidP="00755F49">
            <w:pPr>
              <w:tabs>
                <w:tab w:val="left" w:pos="432"/>
              </w:tabs>
              <w:jc w:val="both"/>
              <w:rPr>
                <w:b/>
                <w:bCs/>
                <w:color w:val="000000" w:themeColor="text1"/>
                <w:sz w:val="21"/>
                <w:szCs w:val="21"/>
              </w:rPr>
            </w:pPr>
            <w:r w:rsidRPr="00755F49">
              <w:rPr>
                <w:b/>
                <w:bCs/>
                <w:color w:val="000000" w:themeColor="text1"/>
                <w:sz w:val="21"/>
                <w:szCs w:val="21"/>
              </w:rPr>
              <w:t>Finding</w:t>
            </w:r>
          </w:p>
        </w:tc>
        <w:tc>
          <w:tcPr>
            <w:tcW w:w="1752" w:type="dxa"/>
            <w:gridSpan w:val="2"/>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EMG finding</w:t>
            </w:r>
          </w:p>
        </w:tc>
        <w:tc>
          <w:tcPr>
            <w:tcW w:w="1752" w:type="dxa"/>
            <w:gridSpan w:val="2"/>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CSF finding</w:t>
            </w:r>
          </w:p>
        </w:tc>
        <w:tc>
          <w:tcPr>
            <w:tcW w:w="540" w:type="dxa"/>
            <w:vMerge w:val="restart"/>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P value</w:t>
            </w:r>
          </w:p>
        </w:tc>
      </w:tr>
      <w:tr w:rsidR="00755F49" w:rsidRPr="00755F49" w:rsidTr="00755F49">
        <w:trPr>
          <w:cantSplit/>
        </w:trPr>
        <w:tc>
          <w:tcPr>
            <w:tcW w:w="744" w:type="dxa"/>
            <w:vMerge/>
          </w:tcPr>
          <w:p w:rsidR="007C5476" w:rsidRPr="00755F49" w:rsidRDefault="007C5476" w:rsidP="00755F49">
            <w:pPr>
              <w:tabs>
                <w:tab w:val="left" w:pos="432"/>
              </w:tabs>
              <w:jc w:val="both"/>
              <w:rPr>
                <w:bCs/>
                <w:color w:val="000000" w:themeColor="text1"/>
                <w:sz w:val="21"/>
                <w:szCs w:val="21"/>
              </w:rPr>
            </w:pPr>
          </w:p>
        </w:tc>
        <w:tc>
          <w:tcPr>
            <w:tcW w:w="764"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No. of patients</w:t>
            </w:r>
          </w:p>
        </w:tc>
        <w:tc>
          <w:tcPr>
            <w:tcW w:w="988"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Percentage</w:t>
            </w:r>
          </w:p>
        </w:tc>
        <w:tc>
          <w:tcPr>
            <w:tcW w:w="764"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No. of patients</w:t>
            </w:r>
          </w:p>
        </w:tc>
        <w:tc>
          <w:tcPr>
            <w:tcW w:w="988" w:type="dxa"/>
          </w:tcPr>
          <w:p w:rsidR="007C5476" w:rsidRPr="00755F49" w:rsidRDefault="007C5476" w:rsidP="00755F49">
            <w:pPr>
              <w:tabs>
                <w:tab w:val="left" w:pos="432"/>
              </w:tabs>
              <w:jc w:val="center"/>
              <w:rPr>
                <w:b/>
                <w:bCs/>
                <w:color w:val="000000" w:themeColor="text1"/>
                <w:sz w:val="21"/>
                <w:szCs w:val="21"/>
              </w:rPr>
            </w:pPr>
            <w:r w:rsidRPr="00755F49">
              <w:rPr>
                <w:b/>
                <w:bCs/>
                <w:color w:val="000000" w:themeColor="text1"/>
                <w:sz w:val="21"/>
                <w:szCs w:val="21"/>
              </w:rPr>
              <w:t>Percentage</w:t>
            </w:r>
          </w:p>
        </w:tc>
        <w:tc>
          <w:tcPr>
            <w:tcW w:w="540" w:type="dxa"/>
            <w:vMerge/>
          </w:tcPr>
          <w:p w:rsidR="007C5476" w:rsidRPr="00755F49" w:rsidRDefault="007C5476" w:rsidP="00755F49">
            <w:pPr>
              <w:tabs>
                <w:tab w:val="left" w:pos="432"/>
              </w:tabs>
              <w:jc w:val="center"/>
              <w:rPr>
                <w:bCs/>
                <w:color w:val="000000" w:themeColor="text1"/>
                <w:sz w:val="21"/>
                <w:szCs w:val="21"/>
              </w:rPr>
            </w:pPr>
          </w:p>
        </w:tc>
      </w:tr>
      <w:tr w:rsidR="00755F49" w:rsidRPr="00755F49" w:rsidTr="00755F49">
        <w:trPr>
          <w:cantSplit/>
        </w:trPr>
        <w:tc>
          <w:tcPr>
            <w:tcW w:w="744"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Positive</w:t>
            </w:r>
          </w:p>
        </w:tc>
        <w:tc>
          <w:tcPr>
            <w:tcW w:w="764"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116</w:t>
            </w:r>
          </w:p>
        </w:tc>
        <w:tc>
          <w:tcPr>
            <w:tcW w:w="988"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96.7</w:t>
            </w:r>
          </w:p>
        </w:tc>
        <w:tc>
          <w:tcPr>
            <w:tcW w:w="764"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66</w:t>
            </w:r>
          </w:p>
        </w:tc>
        <w:tc>
          <w:tcPr>
            <w:tcW w:w="988"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55.0</w:t>
            </w:r>
          </w:p>
        </w:tc>
        <w:tc>
          <w:tcPr>
            <w:tcW w:w="540" w:type="dxa"/>
            <w:vMerge w:val="restart"/>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0.001</w:t>
            </w:r>
          </w:p>
        </w:tc>
      </w:tr>
      <w:tr w:rsidR="00755F49" w:rsidRPr="00755F49" w:rsidTr="00755F49">
        <w:trPr>
          <w:cantSplit/>
        </w:trPr>
        <w:tc>
          <w:tcPr>
            <w:tcW w:w="744" w:type="dxa"/>
          </w:tcPr>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Negative</w:t>
            </w:r>
          </w:p>
        </w:tc>
        <w:tc>
          <w:tcPr>
            <w:tcW w:w="764"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4</w:t>
            </w:r>
          </w:p>
        </w:tc>
        <w:tc>
          <w:tcPr>
            <w:tcW w:w="988"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3.3</w:t>
            </w:r>
          </w:p>
        </w:tc>
        <w:tc>
          <w:tcPr>
            <w:tcW w:w="764"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54</w:t>
            </w:r>
          </w:p>
        </w:tc>
        <w:tc>
          <w:tcPr>
            <w:tcW w:w="988" w:type="dxa"/>
          </w:tcPr>
          <w:p w:rsidR="007C5476" w:rsidRPr="00755F49" w:rsidRDefault="007C5476" w:rsidP="00755F49">
            <w:pPr>
              <w:tabs>
                <w:tab w:val="left" w:pos="432"/>
              </w:tabs>
              <w:jc w:val="center"/>
              <w:rPr>
                <w:bCs/>
                <w:color w:val="000000" w:themeColor="text1"/>
                <w:sz w:val="21"/>
                <w:szCs w:val="21"/>
              </w:rPr>
            </w:pPr>
            <w:r w:rsidRPr="00755F49">
              <w:rPr>
                <w:bCs/>
                <w:color w:val="000000" w:themeColor="text1"/>
                <w:sz w:val="21"/>
                <w:szCs w:val="21"/>
              </w:rPr>
              <w:t>45.0</w:t>
            </w:r>
          </w:p>
        </w:tc>
        <w:tc>
          <w:tcPr>
            <w:tcW w:w="540" w:type="dxa"/>
            <w:vMerge/>
          </w:tcPr>
          <w:p w:rsidR="007C5476" w:rsidRPr="00755F49" w:rsidRDefault="007C5476" w:rsidP="00755F49">
            <w:pPr>
              <w:tabs>
                <w:tab w:val="left" w:pos="432"/>
              </w:tabs>
              <w:jc w:val="center"/>
              <w:rPr>
                <w:bCs/>
                <w:color w:val="000000" w:themeColor="text1"/>
                <w:sz w:val="21"/>
                <w:szCs w:val="21"/>
              </w:rPr>
            </w:pPr>
          </w:p>
        </w:tc>
      </w:tr>
    </w:tbl>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Key:</w:t>
      </w:r>
    </w:p>
    <w:p w:rsidR="007C5476" w:rsidRPr="00755F49" w:rsidRDefault="007C5476" w:rsidP="00755F49">
      <w:pPr>
        <w:tabs>
          <w:tab w:val="left" w:pos="432"/>
        </w:tabs>
        <w:jc w:val="both"/>
        <w:rPr>
          <w:color w:val="000000" w:themeColor="text1"/>
          <w:sz w:val="21"/>
          <w:szCs w:val="21"/>
        </w:rPr>
      </w:pPr>
      <w:proofErr w:type="gramStart"/>
      <w:r w:rsidRPr="00755F49">
        <w:rPr>
          <w:bCs/>
          <w:color w:val="000000" w:themeColor="text1"/>
          <w:sz w:val="21"/>
          <w:szCs w:val="21"/>
        </w:rPr>
        <w:t>n</w:t>
      </w:r>
      <w:proofErr w:type="gramEnd"/>
      <w:r w:rsidRPr="00755F49">
        <w:rPr>
          <w:bCs/>
          <w:color w:val="000000" w:themeColor="text1"/>
          <w:sz w:val="21"/>
          <w:szCs w:val="21"/>
        </w:rPr>
        <w:tab/>
        <w:t>Number of patients</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color w:val="000000" w:themeColor="text1"/>
          <w:sz w:val="25"/>
          <w:szCs w:val="21"/>
        </w:rPr>
      </w:pPr>
      <w:r w:rsidRPr="00755F49">
        <w:rPr>
          <w:b/>
          <w:color w:val="000000" w:themeColor="text1"/>
          <w:sz w:val="25"/>
          <w:szCs w:val="21"/>
        </w:rPr>
        <w:t>DISCUSSION</w:t>
      </w:r>
    </w:p>
    <w:p w:rsidR="007C5476" w:rsidRPr="00755F49" w:rsidRDefault="007C5476" w:rsidP="00755F49">
      <w:pPr>
        <w:tabs>
          <w:tab w:val="left" w:pos="432"/>
        </w:tabs>
        <w:jc w:val="both"/>
        <w:rPr>
          <w:bCs/>
          <w:color w:val="000000" w:themeColor="text1"/>
          <w:sz w:val="21"/>
          <w:szCs w:val="21"/>
          <w:vertAlign w:val="superscript"/>
        </w:rPr>
      </w:pPr>
      <w:r w:rsidRPr="00755F49">
        <w:rPr>
          <w:color w:val="000000" w:themeColor="text1"/>
          <w:sz w:val="21"/>
          <w:szCs w:val="21"/>
        </w:rPr>
        <w:t>Although the occurrence of GBS in children is relatively rare, it is the most common cause for the development of acute flaccid paralysis among infants and children.</w:t>
      </w:r>
      <w:r w:rsidRPr="00755F49">
        <w:rPr>
          <w:bCs/>
          <w:color w:val="000000" w:themeColor="text1"/>
          <w:sz w:val="21"/>
          <w:szCs w:val="21"/>
          <w:vertAlign w:val="superscript"/>
        </w:rPr>
        <w:t>52</w:t>
      </w:r>
      <w:r w:rsidRPr="00755F49">
        <w:rPr>
          <w:color w:val="000000" w:themeColor="text1"/>
          <w:sz w:val="21"/>
          <w:szCs w:val="21"/>
        </w:rPr>
        <w:t xml:space="preserve"> Since the first report of GBS in childhood by </w:t>
      </w:r>
      <w:proofErr w:type="spellStart"/>
      <w:r w:rsidRPr="00755F49">
        <w:rPr>
          <w:color w:val="000000" w:themeColor="text1"/>
          <w:sz w:val="21"/>
          <w:szCs w:val="21"/>
        </w:rPr>
        <w:t>Mannier-Vinard</w:t>
      </w:r>
      <w:proofErr w:type="spellEnd"/>
      <w:r w:rsidRPr="00755F49">
        <w:rPr>
          <w:color w:val="000000" w:themeColor="text1"/>
          <w:sz w:val="21"/>
          <w:szCs w:val="21"/>
        </w:rPr>
        <w:t xml:space="preserve"> in 1925, showing an incidence of 0.24–1.26 per 100,000 children under 15 years of age.</w:t>
      </w:r>
      <w:r w:rsidRPr="00755F49">
        <w:rPr>
          <w:bCs/>
          <w:color w:val="000000" w:themeColor="text1"/>
          <w:sz w:val="21"/>
          <w:szCs w:val="21"/>
          <w:vertAlign w:val="superscript"/>
        </w:rPr>
        <w:t>53</w:t>
      </w:r>
      <w:r w:rsidRPr="00755F49">
        <w:rPr>
          <w:color w:val="000000" w:themeColor="text1"/>
          <w:sz w:val="21"/>
          <w:szCs w:val="21"/>
        </w:rPr>
        <w:t xml:space="preserve"> GBS has had a worldwide distribution which has affected all races and all ages, including the newborn.</w:t>
      </w:r>
      <w:r w:rsidRPr="00755F49">
        <w:rPr>
          <w:bCs/>
          <w:color w:val="000000" w:themeColor="text1"/>
          <w:sz w:val="21"/>
          <w:szCs w:val="21"/>
          <w:vertAlign w:val="superscript"/>
        </w:rPr>
        <w:t>54</w:t>
      </w:r>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 xml:space="preserve">In our study the mean age of the patients was 5.6±2.8 years. As compared with the study of </w:t>
      </w:r>
      <w:proofErr w:type="spellStart"/>
      <w:r w:rsidRPr="00755F49">
        <w:rPr>
          <w:color w:val="000000" w:themeColor="text1"/>
          <w:sz w:val="21"/>
          <w:szCs w:val="21"/>
        </w:rPr>
        <w:t>Akbayram</w:t>
      </w:r>
      <w:proofErr w:type="spellEnd"/>
      <w:r w:rsidRPr="00755F49">
        <w:rPr>
          <w:color w:val="000000" w:themeColor="text1"/>
          <w:sz w:val="21"/>
          <w:szCs w:val="21"/>
        </w:rPr>
        <w:t xml:space="preserve"> </w:t>
      </w:r>
      <w:proofErr w:type="gramStart"/>
      <w:r w:rsidRPr="00755F49">
        <w:rPr>
          <w:color w:val="000000" w:themeColor="text1"/>
          <w:sz w:val="21"/>
          <w:szCs w:val="21"/>
        </w:rPr>
        <w:t>et</w:t>
      </w:r>
      <w:proofErr w:type="gramEnd"/>
      <w:r w:rsidRPr="00755F49">
        <w:rPr>
          <w:color w:val="000000" w:themeColor="text1"/>
          <w:sz w:val="21"/>
          <w:szCs w:val="21"/>
        </w:rPr>
        <w:t xml:space="preserve"> al9 the mean age of the patients was 5.9±3.8 years, which is comparable with our study.</w:t>
      </w:r>
    </w:p>
    <w:p w:rsidR="007C5476" w:rsidRPr="00755F49" w:rsidRDefault="007C5476" w:rsidP="00755F49">
      <w:pPr>
        <w:tabs>
          <w:tab w:val="left" w:pos="432"/>
        </w:tabs>
        <w:jc w:val="both"/>
        <w:rPr>
          <w:bCs/>
          <w:color w:val="000000" w:themeColor="text1"/>
          <w:sz w:val="21"/>
          <w:szCs w:val="21"/>
          <w:vertAlign w:val="superscript"/>
        </w:rPr>
      </w:pPr>
      <w:r w:rsidRPr="00755F49">
        <w:rPr>
          <w:color w:val="000000" w:themeColor="text1"/>
          <w:sz w:val="21"/>
          <w:szCs w:val="21"/>
        </w:rPr>
        <w:tab/>
        <w:t>Gender ratios in individual reports in the literature vary from 1.5 to 2.7 males for one female.</w:t>
      </w:r>
      <w:r w:rsidRPr="00755F49">
        <w:rPr>
          <w:bCs/>
          <w:color w:val="000000" w:themeColor="text1"/>
          <w:sz w:val="21"/>
          <w:szCs w:val="21"/>
          <w:vertAlign w:val="superscript"/>
        </w:rPr>
        <w:t>54</w:t>
      </w:r>
      <w:r w:rsidRPr="00755F49">
        <w:rPr>
          <w:color w:val="000000" w:themeColor="text1"/>
          <w:sz w:val="21"/>
          <w:szCs w:val="21"/>
        </w:rPr>
        <w:t xml:space="preserve"> </w:t>
      </w:r>
      <w:proofErr w:type="gramStart"/>
      <w:r w:rsidRPr="00755F49">
        <w:rPr>
          <w:color w:val="000000" w:themeColor="text1"/>
          <w:sz w:val="21"/>
          <w:szCs w:val="21"/>
        </w:rPr>
        <w:t>The</w:t>
      </w:r>
      <w:proofErr w:type="gramEnd"/>
      <w:r w:rsidRPr="00755F49">
        <w:rPr>
          <w:color w:val="000000" w:themeColor="text1"/>
          <w:sz w:val="21"/>
          <w:szCs w:val="21"/>
        </w:rPr>
        <w:t xml:space="preserve"> gender ratio in our series was 1.3 in </w:t>
      </w:r>
      <w:proofErr w:type="spellStart"/>
      <w:r w:rsidRPr="00755F49">
        <w:rPr>
          <w:color w:val="000000" w:themeColor="text1"/>
          <w:sz w:val="21"/>
          <w:szCs w:val="21"/>
        </w:rPr>
        <w:t>favour</w:t>
      </w:r>
      <w:proofErr w:type="spellEnd"/>
      <w:r w:rsidRPr="00755F49">
        <w:rPr>
          <w:color w:val="000000" w:themeColor="text1"/>
          <w:sz w:val="21"/>
          <w:szCs w:val="21"/>
        </w:rPr>
        <w:t xml:space="preserve"> of males. The occurrence of GBS in children increases with age, and it is quite rare in children younger than 2 years of age.</w:t>
      </w:r>
      <w:r w:rsidRPr="00755F49">
        <w:rPr>
          <w:bCs/>
          <w:color w:val="000000" w:themeColor="text1"/>
          <w:sz w:val="21"/>
          <w:szCs w:val="21"/>
          <w:vertAlign w:val="superscript"/>
        </w:rPr>
        <w:t>52</w:t>
      </w:r>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 xml:space="preserve">In our study there were 60% male and 40% female patients. As compared with the study of </w:t>
      </w:r>
      <w:proofErr w:type="spellStart"/>
      <w:r w:rsidRPr="00755F49">
        <w:rPr>
          <w:color w:val="000000" w:themeColor="text1"/>
          <w:sz w:val="21"/>
          <w:szCs w:val="21"/>
        </w:rPr>
        <w:t>Akbayram</w:t>
      </w:r>
      <w:proofErr w:type="spellEnd"/>
      <w:r w:rsidRPr="00755F49">
        <w:rPr>
          <w:color w:val="000000" w:themeColor="text1"/>
          <w:sz w:val="21"/>
          <w:szCs w:val="21"/>
        </w:rPr>
        <w:t xml:space="preserve"> </w:t>
      </w:r>
      <w:proofErr w:type="gramStart"/>
      <w:r w:rsidRPr="00755F49">
        <w:rPr>
          <w:color w:val="000000" w:themeColor="text1"/>
          <w:sz w:val="21"/>
          <w:szCs w:val="21"/>
        </w:rPr>
        <w:t>et</w:t>
      </w:r>
      <w:proofErr w:type="gramEnd"/>
      <w:r w:rsidRPr="00755F49">
        <w:rPr>
          <w:color w:val="000000" w:themeColor="text1"/>
          <w:sz w:val="21"/>
          <w:szCs w:val="21"/>
        </w:rPr>
        <w:t xml:space="preserve"> al9 there were 55.5% male and 44.5% female patients, which is comparable with our study.</w:t>
      </w:r>
    </w:p>
    <w:p w:rsidR="007C5476" w:rsidRPr="00755F49" w:rsidRDefault="007C5476" w:rsidP="00755F49">
      <w:pPr>
        <w:tabs>
          <w:tab w:val="left" w:pos="432"/>
        </w:tabs>
        <w:jc w:val="both"/>
        <w:rPr>
          <w:bCs/>
          <w:color w:val="000000" w:themeColor="text1"/>
          <w:sz w:val="21"/>
          <w:szCs w:val="21"/>
          <w:vertAlign w:val="superscript"/>
        </w:rPr>
      </w:pPr>
      <w:r w:rsidRPr="00755F49">
        <w:rPr>
          <w:color w:val="000000" w:themeColor="text1"/>
          <w:sz w:val="21"/>
          <w:szCs w:val="21"/>
        </w:rPr>
        <w:tab/>
        <w:t xml:space="preserve">CSF is characteristically </w:t>
      </w:r>
      <w:proofErr w:type="spellStart"/>
      <w:r w:rsidRPr="00755F49">
        <w:rPr>
          <w:color w:val="000000" w:themeColor="text1"/>
          <w:sz w:val="21"/>
          <w:szCs w:val="21"/>
        </w:rPr>
        <w:t>acellular</w:t>
      </w:r>
      <w:proofErr w:type="spellEnd"/>
      <w:r w:rsidRPr="00755F49">
        <w:rPr>
          <w:color w:val="000000" w:themeColor="text1"/>
          <w:sz w:val="21"/>
          <w:szCs w:val="21"/>
        </w:rPr>
        <w:t>. Protein levels may be normal during the first week of the illness, but the majority will have an increase in protein if measured 2 or 3 weeks later. Elevated CSF protein concentration in GBS has been mainly associated with increased permeability of the blood–CSF barrier.</w:t>
      </w:r>
      <w:r w:rsidRPr="00755F49">
        <w:rPr>
          <w:bCs/>
          <w:color w:val="000000" w:themeColor="text1"/>
          <w:sz w:val="21"/>
          <w:szCs w:val="21"/>
          <w:vertAlign w:val="superscript"/>
        </w:rPr>
        <w:t>54</w:t>
      </w:r>
      <w:proofErr w:type="gramStart"/>
      <w:r w:rsidRPr="00755F49">
        <w:rPr>
          <w:bCs/>
          <w:color w:val="000000" w:themeColor="text1"/>
          <w:sz w:val="21"/>
          <w:szCs w:val="21"/>
          <w:vertAlign w:val="superscript"/>
        </w:rPr>
        <w:t>,55</w:t>
      </w:r>
      <w:proofErr w:type="gramEnd"/>
    </w:p>
    <w:p w:rsidR="007C5476" w:rsidRPr="00755F49" w:rsidRDefault="007C5476" w:rsidP="00755F49">
      <w:pPr>
        <w:tabs>
          <w:tab w:val="left" w:pos="432"/>
        </w:tabs>
        <w:jc w:val="both"/>
        <w:rPr>
          <w:color w:val="000000" w:themeColor="text1"/>
          <w:sz w:val="21"/>
          <w:szCs w:val="21"/>
          <w:vertAlign w:val="superscript"/>
        </w:rPr>
      </w:pPr>
      <w:r w:rsidRPr="00755F49">
        <w:rPr>
          <w:color w:val="000000" w:themeColor="text1"/>
          <w:sz w:val="21"/>
          <w:szCs w:val="21"/>
        </w:rPr>
        <w:lastRenderedPageBreak/>
        <w:tab/>
        <w:t xml:space="preserve">CSF studies are helpful for the diagnosis. CSF proteins are elevated to more than twice the upper normal limits. Glucose level is normal and there is no </w:t>
      </w:r>
      <w:proofErr w:type="spellStart"/>
      <w:r w:rsidRPr="00755F49">
        <w:rPr>
          <w:color w:val="000000" w:themeColor="text1"/>
          <w:sz w:val="21"/>
          <w:szCs w:val="21"/>
        </w:rPr>
        <w:t>pleocytosis</w:t>
      </w:r>
      <w:proofErr w:type="spellEnd"/>
      <w:r w:rsidRPr="00755F49">
        <w:rPr>
          <w:color w:val="000000" w:themeColor="text1"/>
          <w:sz w:val="21"/>
          <w:szCs w:val="21"/>
        </w:rPr>
        <w:t>. Fewer than 10 WBCs per cubic millimeter are found. There is relatively increased CSF protein (46-300mg/dl) and low cellular count (&lt;10/</w:t>
      </w:r>
      <w:proofErr w:type="spellStart"/>
      <w:r w:rsidRPr="00755F49">
        <w:rPr>
          <w:color w:val="000000" w:themeColor="text1"/>
          <w:sz w:val="21"/>
          <w:szCs w:val="21"/>
        </w:rPr>
        <w:t>cmm</w:t>
      </w:r>
      <w:proofErr w:type="spellEnd"/>
      <w:r w:rsidRPr="00755F49">
        <w:rPr>
          <w:color w:val="000000" w:themeColor="text1"/>
          <w:sz w:val="21"/>
          <w:szCs w:val="21"/>
        </w:rPr>
        <w:t>) in about 80% of patients with GBS. Elevated Cerebrospinal fluid protein is seen in most of the patients particularly after first week of illness due to breakdown of blood nerve barrier within the subarachnoid space.</w:t>
      </w:r>
      <w:r w:rsidRPr="00755F49">
        <w:rPr>
          <w:color w:val="000000" w:themeColor="text1"/>
          <w:sz w:val="21"/>
          <w:szCs w:val="21"/>
          <w:vertAlign w:val="superscript"/>
        </w:rPr>
        <w:t>7</w:t>
      </w:r>
      <w:proofErr w:type="gramStart"/>
      <w:r w:rsidRPr="00755F49">
        <w:rPr>
          <w:color w:val="000000" w:themeColor="text1"/>
          <w:sz w:val="21"/>
          <w:szCs w:val="21"/>
          <w:vertAlign w:val="superscript"/>
        </w:rPr>
        <w:t>,8</w:t>
      </w:r>
      <w:proofErr w:type="gramEnd"/>
    </w:p>
    <w:p w:rsidR="007C5476" w:rsidRPr="00755F49" w:rsidRDefault="007C5476" w:rsidP="00755F49">
      <w:pPr>
        <w:tabs>
          <w:tab w:val="left" w:pos="432"/>
        </w:tabs>
        <w:jc w:val="both"/>
        <w:rPr>
          <w:color w:val="000000" w:themeColor="text1"/>
          <w:sz w:val="21"/>
          <w:szCs w:val="21"/>
          <w:vertAlign w:val="superscript"/>
        </w:rPr>
      </w:pPr>
      <w:r w:rsidRPr="00755F49">
        <w:rPr>
          <w:color w:val="000000" w:themeColor="text1"/>
          <w:sz w:val="21"/>
          <w:szCs w:val="21"/>
        </w:rPr>
        <w:tab/>
        <w:t xml:space="preserve">Motor nerve conduction velocities are greatly reduced and sensory nerve conduction time is often slow during second week of illness. Electromyography (EMG) shows evidence of acute denervation of muscles. EMG is comparable with CSF for diagnosis of GBS </w:t>
      </w:r>
      <w:proofErr w:type="gramStart"/>
      <w:r w:rsidRPr="00755F49">
        <w:rPr>
          <w:color w:val="000000" w:themeColor="text1"/>
          <w:sz w:val="21"/>
          <w:szCs w:val="21"/>
        </w:rPr>
        <w:t>But</w:t>
      </w:r>
      <w:proofErr w:type="gramEnd"/>
      <w:r w:rsidRPr="00755F49">
        <w:rPr>
          <w:color w:val="000000" w:themeColor="text1"/>
          <w:sz w:val="21"/>
          <w:szCs w:val="21"/>
        </w:rPr>
        <w:t xml:space="preserve"> EMG is costly and is not available in many places. On the other hand CSF is cheaper and readily available so it can be used as alternating method where EMG studies are not available. EMG shows positive findings in 95% of the patients while CSF abnormalities (</w:t>
      </w:r>
      <w:proofErr w:type="spellStart"/>
      <w:r w:rsidRPr="00755F49">
        <w:rPr>
          <w:color w:val="000000" w:themeColor="text1"/>
          <w:sz w:val="21"/>
          <w:szCs w:val="21"/>
        </w:rPr>
        <w:t>cytoalbuminal</w:t>
      </w:r>
      <w:proofErr w:type="spellEnd"/>
      <w:r w:rsidRPr="00755F49">
        <w:rPr>
          <w:color w:val="000000" w:themeColor="text1"/>
          <w:sz w:val="21"/>
          <w:szCs w:val="21"/>
        </w:rPr>
        <w:t xml:space="preserve"> dissociation) is noted in 52% of the patients.</w:t>
      </w:r>
      <w:r w:rsidRPr="00755F49">
        <w:rPr>
          <w:color w:val="000000" w:themeColor="text1"/>
          <w:sz w:val="21"/>
          <w:szCs w:val="21"/>
          <w:vertAlign w:val="superscript"/>
        </w:rPr>
        <w:t>9</w:t>
      </w:r>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 xml:space="preserve">In our study there were 96.7% patients had EMG positive finding. As compared with the study of </w:t>
      </w:r>
      <w:proofErr w:type="spellStart"/>
      <w:r w:rsidRPr="00755F49">
        <w:rPr>
          <w:color w:val="000000" w:themeColor="text1"/>
          <w:sz w:val="21"/>
          <w:szCs w:val="21"/>
        </w:rPr>
        <w:t>Akbayram</w:t>
      </w:r>
      <w:proofErr w:type="spellEnd"/>
      <w:r w:rsidRPr="00755F49">
        <w:rPr>
          <w:color w:val="000000" w:themeColor="text1"/>
          <w:sz w:val="21"/>
          <w:szCs w:val="21"/>
        </w:rPr>
        <w:t xml:space="preserve"> </w:t>
      </w:r>
      <w:proofErr w:type="gramStart"/>
      <w:r w:rsidRPr="00755F49">
        <w:rPr>
          <w:color w:val="000000" w:themeColor="text1"/>
          <w:sz w:val="21"/>
          <w:szCs w:val="21"/>
        </w:rPr>
        <w:t>et</w:t>
      </w:r>
      <w:proofErr w:type="gramEnd"/>
      <w:r w:rsidRPr="00755F49">
        <w:rPr>
          <w:color w:val="000000" w:themeColor="text1"/>
          <w:sz w:val="21"/>
          <w:szCs w:val="21"/>
        </w:rPr>
        <w:t xml:space="preserve"> al</w:t>
      </w:r>
      <w:r w:rsidRPr="00755F49">
        <w:rPr>
          <w:bCs/>
          <w:color w:val="000000" w:themeColor="text1"/>
          <w:sz w:val="21"/>
          <w:szCs w:val="21"/>
          <w:vertAlign w:val="superscript"/>
        </w:rPr>
        <w:t>9</w:t>
      </w:r>
      <w:r w:rsidRPr="00755F49">
        <w:rPr>
          <w:color w:val="000000" w:themeColor="text1"/>
          <w:sz w:val="21"/>
          <w:szCs w:val="21"/>
        </w:rPr>
        <w:t xml:space="preserve"> there were 95% patients positive with EMG finding, which is comparable with our study.</w:t>
      </w:r>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 xml:space="preserve">In our study there were 55% patients had CSF positive finding. As compared with the study of </w:t>
      </w:r>
      <w:proofErr w:type="spellStart"/>
      <w:r w:rsidRPr="00755F49">
        <w:rPr>
          <w:color w:val="000000" w:themeColor="text1"/>
          <w:sz w:val="21"/>
          <w:szCs w:val="21"/>
        </w:rPr>
        <w:t>Akbayram</w:t>
      </w:r>
      <w:proofErr w:type="spellEnd"/>
      <w:r w:rsidRPr="00755F49">
        <w:rPr>
          <w:color w:val="000000" w:themeColor="text1"/>
          <w:sz w:val="21"/>
          <w:szCs w:val="21"/>
        </w:rPr>
        <w:t xml:space="preserve"> </w:t>
      </w:r>
      <w:proofErr w:type="gramStart"/>
      <w:r w:rsidRPr="00755F49">
        <w:rPr>
          <w:color w:val="000000" w:themeColor="text1"/>
          <w:sz w:val="21"/>
          <w:szCs w:val="21"/>
        </w:rPr>
        <w:t>et</w:t>
      </w:r>
      <w:proofErr w:type="gramEnd"/>
      <w:r w:rsidRPr="00755F49">
        <w:rPr>
          <w:color w:val="000000" w:themeColor="text1"/>
          <w:sz w:val="21"/>
          <w:szCs w:val="21"/>
        </w:rPr>
        <w:t xml:space="preserve"> al</w:t>
      </w:r>
      <w:r w:rsidRPr="00755F49">
        <w:rPr>
          <w:bCs/>
          <w:color w:val="000000" w:themeColor="text1"/>
          <w:sz w:val="21"/>
          <w:szCs w:val="21"/>
          <w:vertAlign w:val="superscript"/>
        </w:rPr>
        <w:t>9</w:t>
      </w:r>
      <w:r w:rsidRPr="00755F49">
        <w:rPr>
          <w:color w:val="000000" w:themeColor="text1"/>
          <w:sz w:val="21"/>
          <w:szCs w:val="21"/>
        </w:rPr>
        <w:t xml:space="preserve"> there were 52% patients positive with CSF positive finding, which is comparable with our study.</w:t>
      </w:r>
    </w:p>
    <w:p w:rsidR="007C5476" w:rsidRPr="00755F49" w:rsidRDefault="007C5476" w:rsidP="00755F49">
      <w:pPr>
        <w:tabs>
          <w:tab w:val="left" w:pos="432"/>
        </w:tabs>
        <w:jc w:val="both"/>
        <w:rPr>
          <w:bCs/>
          <w:color w:val="000000" w:themeColor="text1"/>
          <w:sz w:val="21"/>
          <w:szCs w:val="21"/>
          <w:vertAlign w:val="superscript"/>
        </w:rPr>
      </w:pPr>
      <w:r w:rsidRPr="00755F49">
        <w:rPr>
          <w:color w:val="000000" w:themeColor="text1"/>
          <w:sz w:val="21"/>
          <w:szCs w:val="21"/>
        </w:rPr>
        <w:tab/>
        <w:t>The onset is gradual and progress over days or weeks. Weakness begins in the lower extremities and may involve the trunk, upper limb and finally the bulbar muscles. Initially weakness can cause inability to walk and later lead to flaccid tetraplegia. Tendon reflexes are lost usually early in the course. Dysphagia and facial weakness are impending sings of respiratory failure.</w:t>
      </w:r>
      <w:r w:rsidRPr="00755F49">
        <w:rPr>
          <w:bCs/>
          <w:color w:val="000000" w:themeColor="text1"/>
          <w:sz w:val="21"/>
          <w:szCs w:val="21"/>
          <w:vertAlign w:val="superscript"/>
        </w:rPr>
        <w:t>5</w:t>
      </w:r>
      <w:proofErr w:type="gramStart"/>
      <w:r w:rsidRPr="00755F49">
        <w:rPr>
          <w:bCs/>
          <w:color w:val="000000" w:themeColor="text1"/>
          <w:sz w:val="21"/>
          <w:szCs w:val="21"/>
          <w:vertAlign w:val="superscript"/>
        </w:rPr>
        <w:t>,6</w:t>
      </w:r>
      <w:proofErr w:type="gramEnd"/>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 xml:space="preserve">Optimal management and treatment of GBS is critically important because the stakes are life or death. Although many patients with GBS are desperately ill and paralyzed, their chances of a full recovery are high if they can overcome the acute stages. Thus, an important aspect of treatment is to provide maximum supportive care during the acute stages. A recent large, multicenter, randomized trial made a comparison between plasma exchange, intravenous exchange and combined treatment. Its final analysis revealed that there was no significant difference in efficacy </w:t>
      </w:r>
      <w:proofErr w:type="gramStart"/>
      <w:r w:rsidRPr="00755F49">
        <w:rPr>
          <w:color w:val="000000" w:themeColor="text1"/>
          <w:sz w:val="21"/>
          <w:szCs w:val="21"/>
        </w:rPr>
        <w:t>between these three therapeutic regimens.</w:t>
      </w:r>
      <w:r w:rsidRPr="00755F49">
        <w:rPr>
          <w:bCs/>
          <w:color w:val="000000" w:themeColor="text1"/>
          <w:sz w:val="21"/>
          <w:szCs w:val="21"/>
          <w:vertAlign w:val="superscript"/>
        </w:rPr>
        <w:t>52</w:t>
      </w:r>
      <w:proofErr w:type="gramEnd"/>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 xml:space="preserve">The only new observation with patients treated with IVIG was acute relapse in 11.9% of the patients. A </w:t>
      </w:r>
      <w:r w:rsidRPr="00755F49">
        <w:rPr>
          <w:color w:val="000000" w:themeColor="text1"/>
          <w:sz w:val="21"/>
          <w:szCs w:val="21"/>
        </w:rPr>
        <w:lastRenderedPageBreak/>
        <w:t>relapse rate ranging from 1.4 to 46.7 was reported with use of IVIG.</w:t>
      </w:r>
      <w:r w:rsidRPr="00755F49">
        <w:rPr>
          <w:bCs/>
          <w:color w:val="000000" w:themeColor="text1"/>
          <w:sz w:val="21"/>
          <w:szCs w:val="21"/>
          <w:vertAlign w:val="superscript"/>
        </w:rPr>
        <w:t xml:space="preserve"> 56</w:t>
      </w:r>
      <w:proofErr w:type="gramStart"/>
      <w:r w:rsidRPr="00755F49">
        <w:rPr>
          <w:bCs/>
          <w:color w:val="000000" w:themeColor="text1"/>
          <w:sz w:val="21"/>
          <w:szCs w:val="21"/>
          <w:vertAlign w:val="superscript"/>
        </w:rPr>
        <w:t>,57</w:t>
      </w:r>
      <w:proofErr w:type="gramEnd"/>
    </w:p>
    <w:p w:rsidR="007C5476" w:rsidRPr="00755F49" w:rsidRDefault="007C5476" w:rsidP="00755F49">
      <w:pPr>
        <w:tabs>
          <w:tab w:val="left" w:pos="432"/>
        </w:tabs>
        <w:jc w:val="both"/>
        <w:rPr>
          <w:bCs/>
          <w:color w:val="000000" w:themeColor="text1"/>
          <w:sz w:val="21"/>
          <w:szCs w:val="21"/>
          <w:vertAlign w:val="superscript"/>
        </w:rPr>
      </w:pPr>
      <w:r w:rsidRPr="00755F49">
        <w:rPr>
          <w:color w:val="000000" w:themeColor="text1"/>
          <w:sz w:val="21"/>
          <w:szCs w:val="21"/>
        </w:rPr>
        <w:tab/>
        <w:t>Studies of GBS that focused on both children and adults together found that respiratory support was required in about 20–30% of the patients.</w:t>
      </w:r>
      <w:r w:rsidRPr="00755F49">
        <w:rPr>
          <w:bCs/>
          <w:color w:val="000000" w:themeColor="text1"/>
          <w:sz w:val="21"/>
          <w:szCs w:val="21"/>
          <w:vertAlign w:val="superscript"/>
        </w:rPr>
        <w:t>58</w:t>
      </w:r>
      <w:proofErr w:type="gramStart"/>
      <w:r w:rsidRPr="00755F49">
        <w:rPr>
          <w:bCs/>
          <w:color w:val="000000" w:themeColor="text1"/>
          <w:sz w:val="21"/>
          <w:szCs w:val="21"/>
          <w:vertAlign w:val="superscript"/>
        </w:rPr>
        <w:t>,59</w:t>
      </w:r>
      <w:proofErr w:type="gramEnd"/>
      <w:r w:rsidRPr="00755F49">
        <w:rPr>
          <w:color w:val="000000" w:themeColor="text1"/>
          <w:sz w:val="21"/>
          <w:szCs w:val="21"/>
        </w:rPr>
        <w:t xml:space="preserve"> Case fatality rates requiring mechanical ventilation for respiratory failure were estimated to be 15–30%.</w:t>
      </w:r>
      <w:r w:rsidRPr="00755F49">
        <w:rPr>
          <w:bCs/>
          <w:color w:val="000000" w:themeColor="text1"/>
          <w:sz w:val="21"/>
          <w:szCs w:val="21"/>
          <w:vertAlign w:val="superscript"/>
        </w:rPr>
        <w:t>52</w:t>
      </w:r>
      <w:r w:rsidRPr="00755F49">
        <w:rPr>
          <w:color w:val="000000" w:themeColor="text1"/>
          <w:sz w:val="21"/>
          <w:szCs w:val="21"/>
        </w:rPr>
        <w:t xml:space="preserve"> Childhood GBS in about one-third of all patients needed </w:t>
      </w:r>
      <w:proofErr w:type="spellStart"/>
      <w:r w:rsidRPr="00755F49">
        <w:rPr>
          <w:color w:val="000000" w:themeColor="text1"/>
          <w:sz w:val="21"/>
          <w:szCs w:val="21"/>
        </w:rPr>
        <w:t>ventilatory</w:t>
      </w:r>
      <w:proofErr w:type="spellEnd"/>
      <w:r w:rsidRPr="00755F49">
        <w:rPr>
          <w:color w:val="000000" w:themeColor="text1"/>
          <w:sz w:val="21"/>
          <w:szCs w:val="21"/>
        </w:rPr>
        <w:t xml:space="preserve"> support for respiratory muscle paralysis, and about 10% of the patients died of the disease and its complications.</w:t>
      </w:r>
      <w:r w:rsidRPr="00755F49">
        <w:rPr>
          <w:bCs/>
          <w:color w:val="000000" w:themeColor="text1"/>
          <w:sz w:val="21"/>
          <w:szCs w:val="21"/>
          <w:vertAlign w:val="superscript"/>
        </w:rPr>
        <w:t>60</w:t>
      </w:r>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GBS in children has a shorter course and is associated with a more complete recovery than GBS in adult patients. Despite modern treatment regimens, about 10–20% of adult GBS patients continued to be disabled.</w:t>
      </w:r>
      <w:r w:rsidRPr="00755F49">
        <w:rPr>
          <w:bCs/>
          <w:color w:val="000000" w:themeColor="text1"/>
          <w:sz w:val="21"/>
          <w:szCs w:val="21"/>
          <w:vertAlign w:val="superscript"/>
        </w:rPr>
        <w:t>61,62,63</w:t>
      </w:r>
      <w:r w:rsidRPr="00755F49">
        <w:rPr>
          <w:color w:val="000000" w:themeColor="text1"/>
          <w:sz w:val="21"/>
          <w:szCs w:val="21"/>
        </w:rPr>
        <w:t xml:space="preserve"> Moreover, older age at onset was significantly associated with a poorer outcome at 1 year.</w:t>
      </w:r>
      <w:r w:rsidRPr="00755F49">
        <w:rPr>
          <w:bCs/>
          <w:color w:val="000000" w:themeColor="text1"/>
          <w:sz w:val="21"/>
          <w:szCs w:val="21"/>
          <w:vertAlign w:val="superscript"/>
        </w:rPr>
        <w:t>61</w:t>
      </w:r>
      <w:r w:rsidRPr="00755F49">
        <w:rPr>
          <w:color w:val="000000" w:themeColor="text1"/>
          <w:sz w:val="21"/>
          <w:szCs w:val="21"/>
        </w:rPr>
        <w:t xml:space="preserve"> In a retrospective study including adult patients in Taiwan, 12.5% of the patients remained at Hughes scale grade 4–6 after 1 year.</w:t>
      </w:r>
      <w:r w:rsidRPr="00755F49">
        <w:rPr>
          <w:bCs/>
          <w:color w:val="000000" w:themeColor="text1"/>
          <w:sz w:val="21"/>
          <w:szCs w:val="21"/>
          <w:vertAlign w:val="superscript"/>
        </w:rPr>
        <w:t>64</w:t>
      </w:r>
      <w:r w:rsidRPr="00755F49">
        <w:rPr>
          <w:color w:val="000000" w:themeColor="text1"/>
          <w:sz w:val="21"/>
          <w:szCs w:val="21"/>
        </w:rPr>
        <w:t xml:space="preserve"> In contrast, although approximately 40% of the children became </w:t>
      </w:r>
      <w:proofErr w:type="spellStart"/>
      <w:r w:rsidRPr="00755F49">
        <w:rPr>
          <w:color w:val="000000" w:themeColor="text1"/>
          <w:sz w:val="21"/>
          <w:szCs w:val="21"/>
        </w:rPr>
        <w:t>nonambulant</w:t>
      </w:r>
      <w:proofErr w:type="spellEnd"/>
      <w:r w:rsidRPr="00755F49">
        <w:rPr>
          <w:color w:val="000000" w:themeColor="text1"/>
          <w:sz w:val="21"/>
          <w:szCs w:val="21"/>
        </w:rPr>
        <w:t xml:space="preserve"> during their illness and 15–20% required </w:t>
      </w:r>
      <w:proofErr w:type="spellStart"/>
      <w:r w:rsidRPr="00755F49">
        <w:rPr>
          <w:color w:val="000000" w:themeColor="text1"/>
          <w:sz w:val="21"/>
          <w:szCs w:val="21"/>
        </w:rPr>
        <w:t>ventilatory</w:t>
      </w:r>
      <w:proofErr w:type="spellEnd"/>
      <w:r w:rsidRPr="00755F49">
        <w:rPr>
          <w:color w:val="000000" w:themeColor="text1"/>
          <w:sz w:val="21"/>
          <w:szCs w:val="21"/>
        </w:rPr>
        <w:t xml:space="preserve"> support, more than 90% recovered fully, with a small minority showing minimal residual impairment, such as weakness of the ankle </w:t>
      </w:r>
      <w:proofErr w:type="spellStart"/>
      <w:r w:rsidRPr="00755F49">
        <w:rPr>
          <w:color w:val="000000" w:themeColor="text1"/>
          <w:sz w:val="21"/>
          <w:szCs w:val="21"/>
        </w:rPr>
        <w:t>dorsiflexor</w:t>
      </w:r>
      <w:proofErr w:type="spellEnd"/>
      <w:r w:rsidRPr="00755F49">
        <w:rPr>
          <w:color w:val="000000" w:themeColor="text1"/>
          <w:sz w:val="21"/>
          <w:szCs w:val="21"/>
        </w:rPr>
        <w:t xml:space="preserve"> 1–4 months after onset, but were able to walk unaided.</w:t>
      </w:r>
      <w:r w:rsidRPr="00755F49">
        <w:rPr>
          <w:bCs/>
          <w:color w:val="000000" w:themeColor="text1"/>
          <w:sz w:val="21"/>
          <w:szCs w:val="21"/>
          <w:vertAlign w:val="superscript"/>
        </w:rPr>
        <w:t>65,66</w:t>
      </w:r>
      <w:r w:rsidRPr="00755F49">
        <w:rPr>
          <w:color w:val="000000" w:themeColor="text1"/>
          <w:sz w:val="21"/>
          <w:szCs w:val="21"/>
        </w:rPr>
        <w:t xml:space="preserve"> After 1 year, only 14.3% of the pediatric GBS patients needed assistance in walking.</w:t>
      </w:r>
      <w:r w:rsidRPr="00755F49">
        <w:rPr>
          <w:bCs/>
          <w:color w:val="000000" w:themeColor="text1"/>
          <w:sz w:val="21"/>
          <w:szCs w:val="21"/>
          <w:vertAlign w:val="superscript"/>
        </w:rPr>
        <w:t>52</w:t>
      </w:r>
      <w:r w:rsidRPr="00755F49">
        <w:rPr>
          <w:color w:val="000000" w:themeColor="text1"/>
          <w:sz w:val="21"/>
          <w:szCs w:val="21"/>
        </w:rPr>
        <w:t xml:space="preserve"> Moreover, about 72% of the children with GBS could walk independently 1 year after onset, more than twice the percentage of adults.</w:t>
      </w:r>
      <w:r w:rsidRPr="00755F49">
        <w:rPr>
          <w:bCs/>
          <w:color w:val="000000" w:themeColor="text1"/>
          <w:sz w:val="21"/>
          <w:szCs w:val="21"/>
          <w:vertAlign w:val="superscript"/>
        </w:rPr>
        <w:t>67</w:t>
      </w:r>
    </w:p>
    <w:p w:rsidR="007C5476" w:rsidRPr="00755F49" w:rsidRDefault="007C5476" w:rsidP="00755F49">
      <w:pPr>
        <w:tabs>
          <w:tab w:val="left" w:pos="432"/>
        </w:tabs>
        <w:jc w:val="both"/>
        <w:rPr>
          <w:color w:val="000000" w:themeColor="text1"/>
          <w:sz w:val="21"/>
          <w:szCs w:val="21"/>
        </w:rPr>
      </w:pPr>
      <w:r w:rsidRPr="00755F49">
        <w:rPr>
          <w:color w:val="000000" w:themeColor="text1"/>
          <w:sz w:val="21"/>
          <w:szCs w:val="21"/>
        </w:rPr>
        <w:tab/>
        <w:t xml:space="preserve">In our study, in the agreement between EMG findings and CSF findings, 53.3% patients showed agreement between EMG findings and CSF findings in the diagnosis of GBS. As compared with the study of </w:t>
      </w:r>
      <w:proofErr w:type="spellStart"/>
      <w:r w:rsidRPr="00755F49">
        <w:rPr>
          <w:color w:val="000000" w:themeColor="text1"/>
          <w:sz w:val="21"/>
          <w:szCs w:val="21"/>
        </w:rPr>
        <w:t>Akbayram</w:t>
      </w:r>
      <w:proofErr w:type="spellEnd"/>
      <w:r w:rsidRPr="00755F49">
        <w:rPr>
          <w:color w:val="000000" w:themeColor="text1"/>
          <w:sz w:val="21"/>
          <w:szCs w:val="21"/>
        </w:rPr>
        <w:t xml:space="preserve"> </w:t>
      </w:r>
      <w:proofErr w:type="gramStart"/>
      <w:r w:rsidRPr="00755F49">
        <w:rPr>
          <w:color w:val="000000" w:themeColor="text1"/>
          <w:sz w:val="21"/>
          <w:szCs w:val="21"/>
        </w:rPr>
        <w:t>et</w:t>
      </w:r>
      <w:proofErr w:type="gramEnd"/>
      <w:r w:rsidRPr="00755F49">
        <w:rPr>
          <w:color w:val="000000" w:themeColor="text1"/>
          <w:sz w:val="21"/>
          <w:szCs w:val="21"/>
        </w:rPr>
        <w:t xml:space="preserve"> al</w:t>
      </w:r>
      <w:r w:rsidRPr="00755F49">
        <w:rPr>
          <w:bCs/>
          <w:color w:val="000000" w:themeColor="text1"/>
          <w:sz w:val="21"/>
          <w:szCs w:val="21"/>
          <w:vertAlign w:val="superscript"/>
        </w:rPr>
        <w:t>9</w:t>
      </w:r>
      <w:r w:rsidRPr="00755F49">
        <w:rPr>
          <w:color w:val="000000" w:themeColor="text1"/>
          <w:sz w:val="21"/>
          <w:szCs w:val="21"/>
        </w:rPr>
        <w:t xml:space="preserve"> 52% patients showed agreement between EMG finding and CSF finding in the diagnosis of GBS.</w:t>
      </w:r>
    </w:p>
    <w:p w:rsidR="007C5476" w:rsidRPr="00755F49" w:rsidRDefault="007C5476" w:rsidP="00755F49">
      <w:pPr>
        <w:tabs>
          <w:tab w:val="left" w:pos="432"/>
        </w:tabs>
        <w:jc w:val="both"/>
        <w:rPr>
          <w:bCs/>
          <w:color w:val="000000" w:themeColor="text1"/>
          <w:sz w:val="21"/>
          <w:szCs w:val="21"/>
        </w:rPr>
      </w:pPr>
      <w:r w:rsidRPr="00755F49">
        <w:rPr>
          <w:bCs/>
          <w:color w:val="000000" w:themeColor="text1"/>
          <w:sz w:val="21"/>
          <w:szCs w:val="21"/>
        </w:rPr>
        <w:tab/>
        <w:t xml:space="preserve">On the basis of above discussion it is concluded that there is a strong </w:t>
      </w:r>
      <w:r w:rsidRPr="00755F49">
        <w:rPr>
          <w:color w:val="000000" w:themeColor="text1"/>
          <w:sz w:val="21"/>
          <w:szCs w:val="21"/>
        </w:rPr>
        <w:t xml:space="preserve">agreement between EMG and CSF findings for the diagnosis of </w:t>
      </w:r>
      <w:proofErr w:type="spellStart"/>
      <w:r w:rsidRPr="00755F49">
        <w:rPr>
          <w:bCs/>
          <w:color w:val="000000" w:themeColor="text1"/>
          <w:sz w:val="21"/>
          <w:szCs w:val="21"/>
        </w:rPr>
        <w:t>Guillain</w:t>
      </w:r>
      <w:proofErr w:type="spellEnd"/>
      <w:r w:rsidRPr="00755F49">
        <w:rPr>
          <w:bCs/>
          <w:color w:val="000000" w:themeColor="text1"/>
          <w:sz w:val="21"/>
          <w:szCs w:val="21"/>
        </w:rPr>
        <w:t xml:space="preserve"> </w:t>
      </w:r>
      <w:proofErr w:type="spellStart"/>
      <w:r w:rsidRPr="00755F49">
        <w:rPr>
          <w:bCs/>
          <w:color w:val="000000" w:themeColor="text1"/>
          <w:sz w:val="21"/>
          <w:szCs w:val="21"/>
        </w:rPr>
        <w:t>Barre</w:t>
      </w:r>
      <w:proofErr w:type="spellEnd"/>
      <w:r w:rsidRPr="00755F49">
        <w:rPr>
          <w:bCs/>
          <w:color w:val="000000" w:themeColor="text1"/>
          <w:sz w:val="21"/>
          <w:szCs w:val="21"/>
        </w:rPr>
        <w:t xml:space="preserve"> Syndrome in children.</w:t>
      </w:r>
    </w:p>
    <w:p w:rsidR="007C5476" w:rsidRPr="00755F49" w:rsidRDefault="007C5476" w:rsidP="00755F49">
      <w:pPr>
        <w:tabs>
          <w:tab w:val="left" w:pos="432"/>
        </w:tabs>
        <w:jc w:val="both"/>
        <w:rPr>
          <w:color w:val="000000" w:themeColor="text1"/>
          <w:sz w:val="21"/>
          <w:szCs w:val="21"/>
        </w:rPr>
      </w:pPr>
    </w:p>
    <w:p w:rsidR="007C5476" w:rsidRPr="00755F49" w:rsidRDefault="007C5476" w:rsidP="00755F49">
      <w:pPr>
        <w:tabs>
          <w:tab w:val="left" w:pos="432"/>
        </w:tabs>
        <w:jc w:val="both"/>
        <w:rPr>
          <w:b/>
          <w:color w:val="000000" w:themeColor="text1"/>
          <w:sz w:val="25"/>
          <w:szCs w:val="21"/>
        </w:rPr>
      </w:pPr>
      <w:r w:rsidRPr="00755F49">
        <w:rPr>
          <w:b/>
          <w:color w:val="000000" w:themeColor="text1"/>
          <w:sz w:val="25"/>
          <w:szCs w:val="21"/>
        </w:rPr>
        <w:t>CONCLUSION</w:t>
      </w:r>
    </w:p>
    <w:p w:rsidR="007C5476" w:rsidRPr="00755F49" w:rsidRDefault="007C5476" w:rsidP="00755F49">
      <w:pPr>
        <w:tabs>
          <w:tab w:val="left" w:pos="432"/>
        </w:tabs>
        <w:jc w:val="both"/>
        <w:rPr>
          <w:bCs/>
          <w:color w:val="000000" w:themeColor="text1"/>
          <w:sz w:val="21"/>
          <w:szCs w:val="21"/>
        </w:rPr>
      </w:pPr>
      <w:proofErr w:type="gramStart"/>
      <w:r w:rsidRPr="00755F49">
        <w:rPr>
          <w:bCs/>
          <w:color w:val="000000" w:themeColor="text1"/>
          <w:sz w:val="21"/>
          <w:szCs w:val="21"/>
        </w:rPr>
        <w:t>t</w:t>
      </w:r>
      <w:proofErr w:type="gramEnd"/>
      <w:r w:rsidRPr="00755F49">
        <w:rPr>
          <w:bCs/>
          <w:color w:val="000000" w:themeColor="text1"/>
          <w:sz w:val="21"/>
          <w:szCs w:val="21"/>
        </w:rPr>
        <w:t xml:space="preserve"> is concluded from this study that there is a strong </w:t>
      </w:r>
      <w:r w:rsidRPr="00755F49">
        <w:rPr>
          <w:color w:val="000000" w:themeColor="text1"/>
          <w:sz w:val="21"/>
          <w:szCs w:val="21"/>
        </w:rPr>
        <w:t xml:space="preserve">agreement between EMG findings and CSF findings for the diagnosis of </w:t>
      </w:r>
      <w:proofErr w:type="spellStart"/>
      <w:r w:rsidRPr="00755F49">
        <w:rPr>
          <w:bCs/>
          <w:color w:val="000000" w:themeColor="text1"/>
          <w:sz w:val="21"/>
          <w:szCs w:val="21"/>
        </w:rPr>
        <w:t>Guillain</w:t>
      </w:r>
      <w:proofErr w:type="spellEnd"/>
      <w:r w:rsidRPr="00755F49">
        <w:rPr>
          <w:bCs/>
          <w:color w:val="000000" w:themeColor="text1"/>
          <w:sz w:val="21"/>
          <w:szCs w:val="21"/>
        </w:rPr>
        <w:t xml:space="preserve"> </w:t>
      </w:r>
      <w:proofErr w:type="spellStart"/>
      <w:r w:rsidRPr="00755F49">
        <w:rPr>
          <w:bCs/>
          <w:color w:val="000000" w:themeColor="text1"/>
          <w:sz w:val="21"/>
          <w:szCs w:val="21"/>
        </w:rPr>
        <w:t>Barre</w:t>
      </w:r>
      <w:proofErr w:type="spellEnd"/>
      <w:r w:rsidRPr="00755F49">
        <w:rPr>
          <w:bCs/>
          <w:color w:val="000000" w:themeColor="text1"/>
          <w:sz w:val="21"/>
          <w:szCs w:val="21"/>
        </w:rPr>
        <w:t xml:space="preserve"> Syndrome in children.</w:t>
      </w:r>
    </w:p>
    <w:p w:rsidR="007C5476" w:rsidRPr="00755F49" w:rsidRDefault="007C5476" w:rsidP="00755F49">
      <w:pPr>
        <w:tabs>
          <w:tab w:val="left" w:pos="432"/>
        </w:tabs>
        <w:jc w:val="both"/>
        <w:rPr>
          <w:bCs/>
          <w:color w:val="000000" w:themeColor="text1"/>
          <w:sz w:val="21"/>
          <w:szCs w:val="21"/>
        </w:rPr>
      </w:pPr>
    </w:p>
    <w:p w:rsidR="007C5476" w:rsidRPr="00755F49" w:rsidRDefault="007C5476" w:rsidP="00755F49">
      <w:pPr>
        <w:tabs>
          <w:tab w:val="left" w:pos="432"/>
        </w:tabs>
        <w:jc w:val="both"/>
        <w:rPr>
          <w:b/>
          <w:color w:val="000000" w:themeColor="text1"/>
          <w:sz w:val="25"/>
          <w:szCs w:val="21"/>
        </w:rPr>
      </w:pPr>
      <w:r w:rsidRPr="00755F49">
        <w:rPr>
          <w:b/>
          <w:color w:val="000000" w:themeColor="text1"/>
          <w:sz w:val="25"/>
          <w:szCs w:val="21"/>
        </w:rPr>
        <w:t>REFERENCES</w:t>
      </w:r>
    </w:p>
    <w:p w:rsidR="007C5476" w:rsidRPr="00755F49" w:rsidRDefault="007C5476" w:rsidP="00755F49">
      <w:pPr>
        <w:tabs>
          <w:tab w:val="left" w:pos="432"/>
        </w:tabs>
        <w:ind w:left="432" w:hanging="432"/>
        <w:jc w:val="both"/>
        <w:rPr>
          <w:bCs/>
          <w:color w:val="000000" w:themeColor="text1"/>
          <w:sz w:val="21"/>
          <w:szCs w:val="21"/>
        </w:rPr>
      </w:pPr>
      <w:r w:rsidRPr="00755F49">
        <w:rPr>
          <w:color w:val="000000" w:themeColor="text1"/>
          <w:sz w:val="21"/>
          <w:szCs w:val="21"/>
        </w:rPr>
        <w:t>1.</w:t>
      </w:r>
      <w:r w:rsidRPr="00755F49">
        <w:rPr>
          <w:color w:val="000000" w:themeColor="text1"/>
          <w:sz w:val="21"/>
          <w:szCs w:val="21"/>
        </w:rPr>
        <w:tab/>
      </w:r>
      <w:proofErr w:type="spellStart"/>
      <w:r w:rsidRPr="00755F49">
        <w:rPr>
          <w:rStyle w:val="Emphasis"/>
          <w:bCs/>
          <w:i w:val="0"/>
          <w:color w:val="000000" w:themeColor="text1"/>
          <w:sz w:val="21"/>
          <w:szCs w:val="21"/>
        </w:rPr>
        <w:t>Kushnir</w:t>
      </w:r>
      <w:proofErr w:type="spellEnd"/>
      <w:r w:rsidRPr="00755F49">
        <w:rPr>
          <w:rStyle w:val="Emphasis"/>
          <w:bCs/>
          <w:i w:val="0"/>
          <w:color w:val="000000" w:themeColor="text1"/>
          <w:sz w:val="21"/>
          <w:szCs w:val="21"/>
        </w:rPr>
        <w:t xml:space="preserve"> N, </w:t>
      </w:r>
      <w:proofErr w:type="spellStart"/>
      <w:r w:rsidRPr="00755F49">
        <w:rPr>
          <w:rStyle w:val="Emphasis"/>
          <w:bCs/>
          <w:i w:val="0"/>
          <w:color w:val="000000" w:themeColor="text1"/>
          <w:sz w:val="21"/>
          <w:szCs w:val="21"/>
        </w:rPr>
        <w:t>Kellan</w:t>
      </w:r>
      <w:proofErr w:type="spellEnd"/>
      <w:r w:rsidRPr="00755F49">
        <w:rPr>
          <w:rStyle w:val="Emphasis"/>
          <w:bCs/>
          <w:i w:val="0"/>
          <w:color w:val="000000" w:themeColor="text1"/>
          <w:sz w:val="21"/>
          <w:szCs w:val="21"/>
        </w:rPr>
        <w:t xml:space="preserve"> C, </w:t>
      </w:r>
      <w:proofErr w:type="spellStart"/>
      <w:r w:rsidRPr="00755F49">
        <w:rPr>
          <w:rStyle w:val="Emphasis"/>
          <w:bCs/>
          <w:i w:val="0"/>
          <w:color w:val="000000" w:themeColor="text1"/>
          <w:sz w:val="21"/>
          <w:szCs w:val="21"/>
        </w:rPr>
        <w:t>Pollak</w:t>
      </w:r>
      <w:proofErr w:type="spellEnd"/>
      <w:r w:rsidRPr="00755F49">
        <w:rPr>
          <w:rStyle w:val="Emphasis"/>
          <w:bCs/>
          <w:i w:val="0"/>
          <w:color w:val="000000" w:themeColor="text1"/>
          <w:sz w:val="21"/>
          <w:szCs w:val="21"/>
        </w:rPr>
        <w:t xml:space="preserve"> M. Evolving pattern of </w:t>
      </w:r>
      <w:proofErr w:type="spellStart"/>
      <w:r w:rsidRPr="00755F49">
        <w:rPr>
          <w:rStyle w:val="Emphasis"/>
          <w:bCs/>
          <w:i w:val="0"/>
          <w:color w:val="000000" w:themeColor="text1"/>
          <w:sz w:val="21"/>
          <w:szCs w:val="21"/>
        </w:rPr>
        <w:t>Gullen</w:t>
      </w:r>
      <w:proofErr w:type="spellEnd"/>
      <w:r w:rsidRPr="00755F49">
        <w:rPr>
          <w:rStyle w:val="Emphasis"/>
          <w:bCs/>
          <w:i w:val="0"/>
          <w:color w:val="000000" w:themeColor="text1"/>
          <w:sz w:val="21"/>
          <w:szCs w:val="21"/>
        </w:rPr>
        <w:t xml:space="preserve"> </w:t>
      </w:r>
      <w:proofErr w:type="spellStart"/>
      <w:r w:rsidRPr="00755F49">
        <w:rPr>
          <w:rStyle w:val="Emphasis"/>
          <w:bCs/>
          <w:i w:val="0"/>
          <w:color w:val="000000" w:themeColor="text1"/>
          <w:sz w:val="21"/>
          <w:szCs w:val="21"/>
        </w:rPr>
        <w:t>Barre</w:t>
      </w:r>
      <w:proofErr w:type="spellEnd"/>
      <w:r w:rsidRPr="00755F49">
        <w:rPr>
          <w:rStyle w:val="Emphasis"/>
          <w:bCs/>
          <w:i w:val="0"/>
          <w:color w:val="000000" w:themeColor="text1"/>
          <w:sz w:val="21"/>
          <w:szCs w:val="21"/>
        </w:rPr>
        <w:t xml:space="preserve"> Syndrome in community hospital.      </w:t>
      </w:r>
      <w:proofErr w:type="spellStart"/>
      <w:r w:rsidRPr="00755F49">
        <w:rPr>
          <w:rStyle w:val="Emphasis"/>
          <w:bCs/>
          <w:i w:val="0"/>
          <w:color w:val="000000" w:themeColor="text1"/>
          <w:sz w:val="21"/>
          <w:szCs w:val="21"/>
        </w:rPr>
        <w:t>Aceta</w:t>
      </w:r>
      <w:proofErr w:type="spellEnd"/>
      <w:r w:rsidRPr="00755F49">
        <w:rPr>
          <w:rStyle w:val="Emphasis"/>
          <w:bCs/>
          <w:i w:val="0"/>
          <w:color w:val="000000" w:themeColor="text1"/>
          <w:sz w:val="21"/>
          <w:szCs w:val="21"/>
        </w:rPr>
        <w:t xml:space="preserve"> </w:t>
      </w:r>
      <w:proofErr w:type="spellStart"/>
      <w:r w:rsidRPr="00755F49">
        <w:rPr>
          <w:rStyle w:val="Emphasis"/>
          <w:bCs/>
          <w:i w:val="0"/>
          <w:color w:val="000000" w:themeColor="text1"/>
          <w:sz w:val="21"/>
          <w:szCs w:val="21"/>
        </w:rPr>
        <w:t>Neurol</w:t>
      </w:r>
      <w:proofErr w:type="spellEnd"/>
      <w:r w:rsidRPr="00755F49">
        <w:rPr>
          <w:rStyle w:val="Emphasis"/>
          <w:bCs/>
          <w:i w:val="0"/>
          <w:color w:val="000000" w:themeColor="text1"/>
          <w:sz w:val="21"/>
          <w:szCs w:val="21"/>
        </w:rPr>
        <w:t xml:space="preserve"> </w:t>
      </w:r>
      <w:proofErr w:type="spellStart"/>
      <w:r w:rsidRPr="00755F49">
        <w:rPr>
          <w:rStyle w:val="Emphasis"/>
          <w:bCs/>
          <w:i w:val="0"/>
          <w:color w:val="000000" w:themeColor="text1"/>
          <w:sz w:val="21"/>
          <w:szCs w:val="21"/>
        </w:rPr>
        <w:t>Scand</w:t>
      </w:r>
      <w:proofErr w:type="spellEnd"/>
      <w:r w:rsidRPr="00755F49">
        <w:rPr>
          <w:rStyle w:val="Emphasis"/>
          <w:bCs/>
          <w:i w:val="0"/>
          <w:color w:val="000000" w:themeColor="text1"/>
          <w:sz w:val="21"/>
          <w:szCs w:val="21"/>
        </w:rPr>
        <w:t xml:space="preserve"> 2008</w:t>
      </w:r>
      <w:proofErr w:type="gramStart"/>
      <w:r w:rsidRPr="00755F49">
        <w:rPr>
          <w:rStyle w:val="Emphasis"/>
          <w:bCs/>
          <w:i w:val="0"/>
          <w:color w:val="000000" w:themeColor="text1"/>
          <w:sz w:val="21"/>
          <w:szCs w:val="21"/>
        </w:rPr>
        <w:t>;117:347</w:t>
      </w:r>
      <w:proofErr w:type="gramEnd"/>
      <w:r w:rsidRPr="00755F49">
        <w:rPr>
          <w:rStyle w:val="Emphasis"/>
          <w:bCs/>
          <w:i w:val="0"/>
          <w:color w:val="000000" w:themeColor="text1"/>
          <w:sz w:val="21"/>
          <w:szCs w:val="21"/>
        </w:rPr>
        <w:t>-50.</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lastRenderedPageBreak/>
        <w:t>2.</w:t>
      </w:r>
      <w:r w:rsidRPr="00755F49">
        <w:rPr>
          <w:color w:val="000000" w:themeColor="text1"/>
          <w:sz w:val="21"/>
          <w:szCs w:val="21"/>
        </w:rPr>
        <w:tab/>
      </w:r>
      <w:proofErr w:type="spellStart"/>
      <w:r w:rsidRPr="00755F49">
        <w:rPr>
          <w:rStyle w:val="Emphasis"/>
          <w:bCs/>
          <w:i w:val="0"/>
          <w:color w:val="000000" w:themeColor="text1"/>
          <w:sz w:val="21"/>
          <w:szCs w:val="21"/>
        </w:rPr>
        <w:t>Baravelli</w:t>
      </w:r>
      <w:proofErr w:type="spellEnd"/>
      <w:r w:rsidRPr="00755F49">
        <w:rPr>
          <w:rStyle w:val="Emphasis"/>
          <w:bCs/>
          <w:i w:val="0"/>
          <w:color w:val="000000" w:themeColor="text1"/>
          <w:sz w:val="21"/>
          <w:szCs w:val="21"/>
        </w:rPr>
        <w:t xml:space="preserve"> M, </w:t>
      </w:r>
      <w:proofErr w:type="spellStart"/>
      <w:r w:rsidRPr="00755F49">
        <w:rPr>
          <w:rStyle w:val="Emphasis"/>
          <w:bCs/>
          <w:i w:val="0"/>
          <w:color w:val="000000" w:themeColor="text1"/>
          <w:sz w:val="21"/>
          <w:szCs w:val="21"/>
        </w:rPr>
        <w:t>Fantoni</w:t>
      </w:r>
      <w:proofErr w:type="spellEnd"/>
      <w:r w:rsidRPr="00755F49">
        <w:rPr>
          <w:rStyle w:val="Emphasis"/>
          <w:bCs/>
          <w:i w:val="0"/>
          <w:color w:val="000000" w:themeColor="text1"/>
          <w:sz w:val="21"/>
          <w:szCs w:val="21"/>
        </w:rPr>
        <w:t xml:space="preserve"> C, Rossi A. Guillain-Barre syndrome as a neurological complication of infective endocarditis. Is it really so rare and how often do we </w:t>
      </w:r>
      <w:proofErr w:type="spellStart"/>
      <w:r w:rsidRPr="00755F49">
        <w:rPr>
          <w:rStyle w:val="Emphasis"/>
          <w:bCs/>
          <w:i w:val="0"/>
          <w:color w:val="000000" w:themeColor="text1"/>
          <w:sz w:val="21"/>
          <w:szCs w:val="21"/>
        </w:rPr>
        <w:t>recognise</w:t>
      </w:r>
      <w:proofErr w:type="spellEnd"/>
      <w:r w:rsidRPr="00755F49">
        <w:rPr>
          <w:rStyle w:val="Emphasis"/>
          <w:bCs/>
          <w:i w:val="0"/>
          <w:color w:val="000000" w:themeColor="text1"/>
          <w:sz w:val="21"/>
          <w:szCs w:val="21"/>
        </w:rPr>
        <w:t xml:space="preserve"> it</w:t>
      </w:r>
      <w:proofErr w:type="gramStart"/>
      <w:r w:rsidRPr="00755F49">
        <w:rPr>
          <w:rStyle w:val="Emphasis"/>
          <w:bCs/>
          <w:i w:val="0"/>
          <w:color w:val="000000" w:themeColor="text1"/>
          <w:sz w:val="21"/>
          <w:szCs w:val="21"/>
        </w:rPr>
        <w:t>?.</w:t>
      </w:r>
      <w:proofErr w:type="gramEnd"/>
      <w:r w:rsidRPr="00755F49">
        <w:rPr>
          <w:rStyle w:val="Emphasis"/>
          <w:bCs/>
          <w:i w:val="0"/>
          <w:color w:val="000000" w:themeColor="text1"/>
          <w:sz w:val="21"/>
          <w:szCs w:val="21"/>
        </w:rPr>
        <w:t xml:space="preserve"> </w:t>
      </w:r>
      <w:proofErr w:type="spellStart"/>
      <w:r w:rsidRPr="00755F49">
        <w:rPr>
          <w:rStyle w:val="Emphasis"/>
          <w:bCs/>
          <w:i w:val="0"/>
          <w:color w:val="000000" w:themeColor="text1"/>
          <w:sz w:val="21"/>
          <w:szCs w:val="21"/>
        </w:rPr>
        <w:t>Int</w:t>
      </w:r>
      <w:proofErr w:type="spellEnd"/>
      <w:r w:rsidRPr="00755F49">
        <w:rPr>
          <w:rStyle w:val="Emphasis"/>
          <w:bCs/>
          <w:i w:val="0"/>
          <w:color w:val="000000" w:themeColor="text1"/>
          <w:sz w:val="21"/>
          <w:szCs w:val="21"/>
        </w:rPr>
        <w:t xml:space="preserve"> J </w:t>
      </w:r>
      <w:proofErr w:type="spellStart"/>
      <w:r w:rsidRPr="00755F49">
        <w:rPr>
          <w:rStyle w:val="Emphasis"/>
          <w:bCs/>
          <w:i w:val="0"/>
          <w:color w:val="000000" w:themeColor="text1"/>
          <w:sz w:val="21"/>
          <w:szCs w:val="21"/>
        </w:rPr>
        <w:t>Cardiol</w:t>
      </w:r>
      <w:proofErr w:type="spellEnd"/>
      <w:r w:rsidRPr="00755F49">
        <w:rPr>
          <w:rStyle w:val="Emphasis"/>
          <w:bCs/>
          <w:i w:val="0"/>
          <w:color w:val="000000" w:themeColor="text1"/>
          <w:sz w:val="21"/>
          <w:szCs w:val="21"/>
        </w:rPr>
        <w:t xml:space="preserve"> 2009</w:t>
      </w:r>
      <w:proofErr w:type="gramStart"/>
      <w:r w:rsidRPr="00755F49">
        <w:rPr>
          <w:rStyle w:val="Emphasis"/>
          <w:bCs/>
          <w:i w:val="0"/>
          <w:color w:val="000000" w:themeColor="text1"/>
          <w:sz w:val="21"/>
          <w:szCs w:val="21"/>
        </w:rPr>
        <w:t>;133:104</w:t>
      </w:r>
      <w:proofErr w:type="gramEnd"/>
      <w:r w:rsidRPr="00755F49">
        <w:rPr>
          <w:rStyle w:val="Emphasis"/>
          <w:bCs/>
          <w:i w:val="0"/>
          <w:color w:val="000000" w:themeColor="text1"/>
          <w:sz w:val="21"/>
          <w:szCs w:val="21"/>
        </w:rPr>
        <w:t>-105.</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w:t>
      </w:r>
      <w:r w:rsidRPr="00755F49">
        <w:rPr>
          <w:color w:val="000000" w:themeColor="text1"/>
          <w:sz w:val="21"/>
          <w:szCs w:val="21"/>
        </w:rPr>
        <w:tab/>
      </w:r>
      <w:r w:rsidRPr="00755F49">
        <w:rPr>
          <w:rStyle w:val="Emphasis"/>
          <w:bCs/>
          <w:i w:val="0"/>
          <w:color w:val="000000" w:themeColor="text1"/>
          <w:sz w:val="21"/>
          <w:szCs w:val="21"/>
        </w:rPr>
        <w:t xml:space="preserve">Nelson L, </w:t>
      </w:r>
      <w:proofErr w:type="spellStart"/>
      <w:r w:rsidRPr="00755F49">
        <w:rPr>
          <w:rStyle w:val="Emphasis"/>
          <w:bCs/>
          <w:i w:val="0"/>
          <w:color w:val="000000" w:themeColor="text1"/>
          <w:sz w:val="21"/>
          <w:szCs w:val="21"/>
        </w:rPr>
        <w:t>Gormley</w:t>
      </w:r>
      <w:proofErr w:type="spellEnd"/>
      <w:r w:rsidRPr="00755F49">
        <w:rPr>
          <w:rStyle w:val="Emphasis"/>
          <w:bCs/>
          <w:i w:val="0"/>
          <w:color w:val="000000" w:themeColor="text1"/>
          <w:sz w:val="21"/>
          <w:szCs w:val="21"/>
        </w:rPr>
        <w:t xml:space="preserve"> R, Riddle MS. The epidemiology of Guillain-Barre Syndrome in U.S. military personnel: a case-control study. BMC Res Notes 2009</w:t>
      </w:r>
      <w:proofErr w:type="gramStart"/>
      <w:r w:rsidRPr="00755F49">
        <w:rPr>
          <w:rStyle w:val="Emphasis"/>
          <w:bCs/>
          <w:i w:val="0"/>
          <w:color w:val="000000" w:themeColor="text1"/>
          <w:sz w:val="21"/>
          <w:szCs w:val="21"/>
        </w:rPr>
        <w:t>;2:171</w:t>
      </w:r>
      <w:proofErr w:type="gramEnd"/>
      <w:r w:rsidRPr="00755F49">
        <w:rPr>
          <w:rStyle w:val="Emphasis"/>
          <w:bCs/>
          <w:i w:val="0"/>
          <w:color w:val="000000" w:themeColor="text1"/>
          <w:sz w:val="21"/>
          <w:szCs w:val="21"/>
        </w:rPr>
        <w:t>.</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w:t>
      </w:r>
      <w:r w:rsidRPr="00755F49">
        <w:rPr>
          <w:color w:val="000000" w:themeColor="text1"/>
          <w:sz w:val="21"/>
          <w:szCs w:val="21"/>
        </w:rPr>
        <w:tab/>
      </w:r>
      <w:proofErr w:type="spellStart"/>
      <w:r w:rsidRPr="00755F49">
        <w:rPr>
          <w:rStyle w:val="Emphasis"/>
          <w:bCs/>
          <w:i w:val="0"/>
          <w:color w:val="000000" w:themeColor="text1"/>
          <w:sz w:val="21"/>
          <w:szCs w:val="21"/>
        </w:rPr>
        <w:t>Souayah</w:t>
      </w:r>
      <w:proofErr w:type="spellEnd"/>
      <w:r w:rsidRPr="00755F49">
        <w:rPr>
          <w:rStyle w:val="Emphasis"/>
          <w:bCs/>
          <w:i w:val="0"/>
          <w:color w:val="000000" w:themeColor="text1"/>
          <w:sz w:val="21"/>
          <w:szCs w:val="21"/>
        </w:rPr>
        <w:t xml:space="preserve"> N, </w:t>
      </w:r>
      <w:proofErr w:type="spellStart"/>
      <w:r w:rsidRPr="00755F49">
        <w:rPr>
          <w:rStyle w:val="Emphasis"/>
          <w:bCs/>
          <w:i w:val="0"/>
          <w:color w:val="000000" w:themeColor="text1"/>
          <w:sz w:val="21"/>
          <w:szCs w:val="21"/>
        </w:rPr>
        <w:t>Nasar</w:t>
      </w:r>
      <w:proofErr w:type="spellEnd"/>
      <w:r w:rsidRPr="00755F49">
        <w:rPr>
          <w:rStyle w:val="Emphasis"/>
          <w:bCs/>
          <w:i w:val="0"/>
          <w:color w:val="000000" w:themeColor="text1"/>
          <w:sz w:val="21"/>
          <w:szCs w:val="21"/>
        </w:rPr>
        <w:t xml:space="preserve"> A, </w:t>
      </w:r>
      <w:proofErr w:type="spellStart"/>
      <w:r w:rsidRPr="00755F49">
        <w:rPr>
          <w:rStyle w:val="Emphasis"/>
          <w:bCs/>
          <w:i w:val="0"/>
          <w:color w:val="000000" w:themeColor="text1"/>
          <w:sz w:val="21"/>
          <w:szCs w:val="21"/>
        </w:rPr>
        <w:t>Suri</w:t>
      </w:r>
      <w:proofErr w:type="spellEnd"/>
      <w:r w:rsidRPr="00755F49">
        <w:rPr>
          <w:rStyle w:val="Emphasis"/>
          <w:bCs/>
          <w:i w:val="0"/>
          <w:color w:val="000000" w:themeColor="text1"/>
          <w:sz w:val="21"/>
          <w:szCs w:val="21"/>
        </w:rPr>
        <w:t xml:space="preserve"> MF. Guillain-Barre syndrome after vaccination in United States: data from the Centers for Disease Control and Prevention/Food and Drug Administration Vaccine Adverse Event Reporting System (1990-2005). J </w:t>
      </w:r>
      <w:proofErr w:type="spellStart"/>
      <w:r w:rsidRPr="00755F49">
        <w:rPr>
          <w:rStyle w:val="Emphasis"/>
          <w:bCs/>
          <w:i w:val="0"/>
          <w:color w:val="000000" w:themeColor="text1"/>
          <w:sz w:val="21"/>
          <w:szCs w:val="21"/>
        </w:rPr>
        <w:t>Clin</w:t>
      </w:r>
      <w:proofErr w:type="spellEnd"/>
      <w:r w:rsidRPr="00755F49">
        <w:rPr>
          <w:rStyle w:val="Emphasis"/>
          <w:bCs/>
          <w:i w:val="0"/>
          <w:color w:val="000000" w:themeColor="text1"/>
          <w:sz w:val="21"/>
          <w:szCs w:val="21"/>
        </w:rPr>
        <w:t xml:space="preserve"> </w:t>
      </w:r>
      <w:proofErr w:type="spellStart"/>
      <w:r w:rsidRPr="00755F49">
        <w:rPr>
          <w:rStyle w:val="Emphasis"/>
          <w:bCs/>
          <w:i w:val="0"/>
          <w:color w:val="000000" w:themeColor="text1"/>
          <w:sz w:val="21"/>
          <w:szCs w:val="21"/>
        </w:rPr>
        <w:t>Neuromuscul</w:t>
      </w:r>
      <w:proofErr w:type="spellEnd"/>
      <w:r w:rsidRPr="00755F49">
        <w:rPr>
          <w:rStyle w:val="Emphasis"/>
          <w:bCs/>
          <w:i w:val="0"/>
          <w:color w:val="000000" w:themeColor="text1"/>
          <w:sz w:val="21"/>
          <w:szCs w:val="21"/>
        </w:rPr>
        <w:t xml:space="preserve"> Dis 2009</w:t>
      </w:r>
      <w:proofErr w:type="gramStart"/>
      <w:r w:rsidRPr="00755F49">
        <w:rPr>
          <w:rStyle w:val="Emphasis"/>
          <w:bCs/>
          <w:i w:val="0"/>
          <w:color w:val="000000" w:themeColor="text1"/>
          <w:sz w:val="21"/>
          <w:szCs w:val="21"/>
        </w:rPr>
        <w:t>;11:1</w:t>
      </w:r>
      <w:proofErr w:type="gramEnd"/>
      <w:r w:rsidRPr="00755F49">
        <w:rPr>
          <w:rStyle w:val="Emphasis"/>
          <w:bCs/>
          <w:i w:val="0"/>
          <w:color w:val="000000" w:themeColor="text1"/>
          <w:sz w:val="21"/>
          <w:szCs w:val="21"/>
        </w:rPr>
        <w:t>-6.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w:t>
      </w:r>
      <w:r w:rsidRPr="00755F49">
        <w:rPr>
          <w:color w:val="000000" w:themeColor="text1"/>
          <w:sz w:val="21"/>
          <w:szCs w:val="21"/>
        </w:rPr>
        <w:tab/>
      </w:r>
      <w:r w:rsidRPr="00755F49">
        <w:rPr>
          <w:rStyle w:val="Emphasis"/>
          <w:bCs/>
          <w:i w:val="0"/>
          <w:color w:val="000000" w:themeColor="text1"/>
          <w:sz w:val="21"/>
          <w:szCs w:val="21"/>
        </w:rPr>
        <w:t xml:space="preserve">El </w:t>
      </w:r>
      <w:proofErr w:type="spellStart"/>
      <w:r w:rsidRPr="00755F49">
        <w:rPr>
          <w:rStyle w:val="Emphasis"/>
          <w:bCs/>
          <w:i w:val="0"/>
          <w:color w:val="000000" w:themeColor="text1"/>
          <w:sz w:val="21"/>
          <w:szCs w:val="21"/>
        </w:rPr>
        <w:t>Mhandi</w:t>
      </w:r>
      <w:proofErr w:type="spellEnd"/>
      <w:r w:rsidRPr="00755F49">
        <w:rPr>
          <w:rStyle w:val="Emphasis"/>
          <w:bCs/>
          <w:i w:val="0"/>
          <w:color w:val="000000" w:themeColor="text1"/>
          <w:sz w:val="21"/>
          <w:szCs w:val="21"/>
        </w:rPr>
        <w:t xml:space="preserve"> L, </w:t>
      </w:r>
      <w:proofErr w:type="spellStart"/>
      <w:r w:rsidRPr="00755F49">
        <w:rPr>
          <w:rStyle w:val="Emphasis"/>
          <w:bCs/>
          <w:i w:val="0"/>
          <w:color w:val="000000" w:themeColor="text1"/>
          <w:sz w:val="21"/>
          <w:szCs w:val="21"/>
        </w:rPr>
        <w:t>Calmels</w:t>
      </w:r>
      <w:proofErr w:type="spellEnd"/>
      <w:r w:rsidRPr="00755F49">
        <w:rPr>
          <w:rStyle w:val="Emphasis"/>
          <w:bCs/>
          <w:i w:val="0"/>
          <w:color w:val="000000" w:themeColor="text1"/>
          <w:sz w:val="21"/>
          <w:szCs w:val="21"/>
        </w:rPr>
        <w:t xml:space="preserve"> P, </w:t>
      </w:r>
      <w:proofErr w:type="spellStart"/>
      <w:r w:rsidRPr="00755F49">
        <w:rPr>
          <w:rStyle w:val="Emphasis"/>
          <w:bCs/>
          <w:i w:val="0"/>
          <w:color w:val="000000" w:themeColor="text1"/>
          <w:sz w:val="21"/>
          <w:szCs w:val="21"/>
        </w:rPr>
        <w:t>Camdessanche</w:t>
      </w:r>
      <w:proofErr w:type="spellEnd"/>
      <w:r w:rsidRPr="00755F49">
        <w:rPr>
          <w:rStyle w:val="Emphasis"/>
          <w:bCs/>
          <w:i w:val="0"/>
          <w:color w:val="000000" w:themeColor="text1"/>
          <w:sz w:val="21"/>
          <w:szCs w:val="21"/>
        </w:rPr>
        <w:t xml:space="preserve"> JP. Muscle strength recovery in treated Guillain-Barre syndrome: a prospective study for the first 18 months after onset. Am J </w:t>
      </w:r>
      <w:proofErr w:type="spellStart"/>
      <w:r w:rsidRPr="00755F49">
        <w:rPr>
          <w:rStyle w:val="Emphasis"/>
          <w:bCs/>
          <w:i w:val="0"/>
          <w:color w:val="000000" w:themeColor="text1"/>
          <w:sz w:val="21"/>
          <w:szCs w:val="21"/>
        </w:rPr>
        <w:t>Phys</w:t>
      </w:r>
      <w:proofErr w:type="spellEnd"/>
      <w:r w:rsidRPr="00755F49">
        <w:rPr>
          <w:rStyle w:val="Emphasis"/>
          <w:bCs/>
          <w:i w:val="0"/>
          <w:color w:val="000000" w:themeColor="text1"/>
          <w:sz w:val="21"/>
          <w:szCs w:val="21"/>
        </w:rPr>
        <w:t xml:space="preserve"> Med </w:t>
      </w:r>
      <w:proofErr w:type="spellStart"/>
      <w:r w:rsidRPr="00755F49">
        <w:rPr>
          <w:rStyle w:val="Emphasis"/>
          <w:bCs/>
          <w:i w:val="0"/>
          <w:color w:val="000000" w:themeColor="text1"/>
          <w:sz w:val="21"/>
          <w:szCs w:val="21"/>
        </w:rPr>
        <w:t>Rehabil</w:t>
      </w:r>
      <w:proofErr w:type="spellEnd"/>
      <w:r w:rsidRPr="00755F49">
        <w:rPr>
          <w:rStyle w:val="Emphasis"/>
          <w:bCs/>
          <w:i w:val="0"/>
          <w:color w:val="000000" w:themeColor="text1"/>
          <w:sz w:val="21"/>
          <w:szCs w:val="21"/>
        </w:rPr>
        <w:t xml:space="preserve"> 2007</w:t>
      </w:r>
      <w:proofErr w:type="gramStart"/>
      <w:r w:rsidRPr="00755F49">
        <w:rPr>
          <w:rStyle w:val="Emphasis"/>
          <w:bCs/>
          <w:i w:val="0"/>
          <w:color w:val="000000" w:themeColor="text1"/>
          <w:sz w:val="21"/>
          <w:szCs w:val="21"/>
        </w:rPr>
        <w:t>;86:716</w:t>
      </w:r>
      <w:proofErr w:type="gramEnd"/>
      <w:r w:rsidRPr="00755F49">
        <w:rPr>
          <w:rStyle w:val="Emphasis"/>
          <w:bCs/>
          <w:i w:val="0"/>
          <w:color w:val="000000" w:themeColor="text1"/>
          <w:sz w:val="21"/>
          <w:szCs w:val="21"/>
        </w:rPr>
        <w:t>-24.</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6.</w:t>
      </w:r>
      <w:r w:rsidRPr="00755F49">
        <w:rPr>
          <w:color w:val="000000" w:themeColor="text1"/>
          <w:sz w:val="21"/>
          <w:szCs w:val="21"/>
        </w:rPr>
        <w:tab/>
      </w:r>
      <w:hyperlink r:id="rId5" w:history="1">
        <w:proofErr w:type="spellStart"/>
        <w:r w:rsidRPr="00755F49">
          <w:rPr>
            <w:rStyle w:val="Hyperlink"/>
            <w:color w:val="000000" w:themeColor="text1"/>
            <w:sz w:val="21"/>
            <w:szCs w:val="21"/>
          </w:rPr>
          <w:t>Shafqat</w:t>
        </w:r>
        <w:proofErr w:type="spellEnd"/>
        <w:r w:rsidRPr="00755F49">
          <w:rPr>
            <w:rStyle w:val="Hyperlink"/>
            <w:color w:val="000000" w:themeColor="text1"/>
            <w:sz w:val="21"/>
            <w:szCs w:val="21"/>
          </w:rPr>
          <w:t xml:space="preserve"> S</w:t>
        </w:r>
      </w:hyperlink>
      <w:r w:rsidRPr="00755F49">
        <w:rPr>
          <w:color w:val="000000" w:themeColor="text1"/>
          <w:sz w:val="21"/>
          <w:szCs w:val="21"/>
        </w:rPr>
        <w:t xml:space="preserve">, </w:t>
      </w:r>
      <w:hyperlink r:id="rId6" w:history="1">
        <w:proofErr w:type="spellStart"/>
        <w:r w:rsidRPr="00755F49">
          <w:rPr>
            <w:rStyle w:val="Hyperlink"/>
            <w:color w:val="000000" w:themeColor="text1"/>
            <w:sz w:val="21"/>
            <w:szCs w:val="21"/>
          </w:rPr>
          <w:t>Khealani</w:t>
        </w:r>
        <w:proofErr w:type="spellEnd"/>
        <w:r w:rsidRPr="00755F49">
          <w:rPr>
            <w:rStyle w:val="Hyperlink"/>
            <w:color w:val="000000" w:themeColor="text1"/>
            <w:sz w:val="21"/>
            <w:szCs w:val="21"/>
          </w:rPr>
          <w:t xml:space="preserve"> BA</w:t>
        </w:r>
      </w:hyperlink>
      <w:r w:rsidRPr="00755F49">
        <w:rPr>
          <w:color w:val="000000" w:themeColor="text1"/>
          <w:sz w:val="21"/>
          <w:szCs w:val="21"/>
        </w:rPr>
        <w:t xml:space="preserve">, </w:t>
      </w:r>
      <w:hyperlink r:id="rId7" w:history="1">
        <w:proofErr w:type="spellStart"/>
        <w:r w:rsidRPr="00755F49">
          <w:rPr>
            <w:rStyle w:val="Hyperlink"/>
            <w:color w:val="000000" w:themeColor="text1"/>
            <w:sz w:val="21"/>
            <w:szCs w:val="21"/>
          </w:rPr>
          <w:t>Awan</w:t>
        </w:r>
        <w:proofErr w:type="spellEnd"/>
        <w:r w:rsidRPr="00755F49">
          <w:rPr>
            <w:rStyle w:val="Hyperlink"/>
            <w:color w:val="000000" w:themeColor="text1"/>
            <w:sz w:val="21"/>
            <w:szCs w:val="21"/>
          </w:rPr>
          <w:t xml:space="preserve"> F</w:t>
        </w:r>
      </w:hyperlink>
      <w:r w:rsidRPr="00755F49">
        <w:rPr>
          <w:color w:val="000000" w:themeColor="text1"/>
          <w:sz w:val="21"/>
          <w:szCs w:val="21"/>
        </w:rPr>
        <w:t xml:space="preserve">, </w:t>
      </w:r>
      <w:hyperlink r:id="rId8" w:history="1">
        <w:proofErr w:type="spellStart"/>
        <w:r w:rsidRPr="00755F49">
          <w:rPr>
            <w:rStyle w:val="Hyperlink"/>
            <w:color w:val="000000" w:themeColor="text1"/>
            <w:sz w:val="21"/>
            <w:szCs w:val="21"/>
          </w:rPr>
          <w:t>Abedin</w:t>
        </w:r>
        <w:proofErr w:type="spellEnd"/>
        <w:r w:rsidRPr="00755F49">
          <w:rPr>
            <w:rStyle w:val="Hyperlink"/>
            <w:color w:val="000000" w:themeColor="text1"/>
            <w:sz w:val="21"/>
            <w:szCs w:val="21"/>
          </w:rPr>
          <w:t xml:space="preserve"> SE</w:t>
        </w:r>
      </w:hyperlink>
      <w:r w:rsidRPr="00755F49">
        <w:rPr>
          <w:color w:val="000000" w:themeColor="text1"/>
          <w:sz w:val="21"/>
          <w:szCs w:val="21"/>
        </w:rPr>
        <w:t xml:space="preserve">. </w:t>
      </w:r>
      <w:r w:rsidRPr="00755F49">
        <w:rPr>
          <w:bCs/>
          <w:color w:val="000000" w:themeColor="text1"/>
          <w:sz w:val="21"/>
          <w:szCs w:val="21"/>
        </w:rPr>
        <w:t xml:space="preserve">Guillain-Barre syndrome in Pakistan: similarity of demyelinating and axonal variants. </w:t>
      </w:r>
      <w:proofErr w:type="spellStart"/>
      <w:r w:rsidRPr="00755F49">
        <w:rPr>
          <w:bCs/>
          <w:color w:val="000000" w:themeColor="text1"/>
          <w:sz w:val="21"/>
          <w:szCs w:val="21"/>
        </w:rPr>
        <w:t>Eur</w:t>
      </w:r>
      <w:proofErr w:type="spellEnd"/>
      <w:r w:rsidRPr="00755F49">
        <w:rPr>
          <w:bCs/>
          <w:color w:val="000000" w:themeColor="text1"/>
          <w:sz w:val="21"/>
          <w:szCs w:val="21"/>
        </w:rPr>
        <w:t xml:space="preserve"> J </w:t>
      </w:r>
      <w:proofErr w:type="spellStart"/>
      <w:r w:rsidRPr="00755F49">
        <w:rPr>
          <w:bCs/>
          <w:color w:val="000000" w:themeColor="text1"/>
          <w:sz w:val="21"/>
          <w:szCs w:val="21"/>
        </w:rPr>
        <w:t>Neurol</w:t>
      </w:r>
      <w:hyperlink r:id="rId9" w:tooltip="European journal of neurology : the official journal of the European Federation of Neurological Societies." w:history="1">
        <w:r w:rsidRPr="00755F49">
          <w:rPr>
            <w:rStyle w:val="Hyperlink"/>
            <w:color w:val="000000" w:themeColor="text1"/>
            <w:sz w:val="21"/>
            <w:szCs w:val="21"/>
          </w:rPr>
          <w:t>javascript</w:t>
        </w:r>
        <w:proofErr w:type="gramStart"/>
        <w:r w:rsidRPr="00755F49">
          <w:rPr>
            <w:rStyle w:val="Hyperlink"/>
            <w:color w:val="000000" w:themeColor="text1"/>
            <w:sz w:val="21"/>
            <w:szCs w:val="21"/>
          </w:rPr>
          <w:t>:AL</w:t>
        </w:r>
        <w:proofErr w:type="gramEnd"/>
        <w:r w:rsidRPr="00755F49">
          <w:rPr>
            <w:rStyle w:val="Hyperlink"/>
            <w:color w:val="000000" w:themeColor="text1"/>
            <w:sz w:val="21"/>
            <w:szCs w:val="21"/>
          </w:rPr>
          <w:t>_get</w:t>
        </w:r>
        <w:proofErr w:type="spellEnd"/>
        <w:r w:rsidRPr="00755F49">
          <w:rPr>
            <w:rStyle w:val="Hyperlink"/>
            <w:color w:val="000000" w:themeColor="text1"/>
            <w:sz w:val="21"/>
            <w:szCs w:val="21"/>
          </w:rPr>
          <w:t>(this, 'jour', '</w:t>
        </w:r>
        <w:proofErr w:type="spellStart"/>
        <w:r w:rsidRPr="00755F49">
          <w:rPr>
            <w:rStyle w:val="Hyperlink"/>
            <w:color w:val="000000" w:themeColor="text1"/>
            <w:sz w:val="21"/>
            <w:szCs w:val="21"/>
          </w:rPr>
          <w:t>Eur</w:t>
        </w:r>
        <w:proofErr w:type="spellEnd"/>
        <w:r w:rsidRPr="00755F49">
          <w:rPr>
            <w:rStyle w:val="Hyperlink"/>
            <w:color w:val="000000" w:themeColor="text1"/>
            <w:sz w:val="21"/>
            <w:szCs w:val="21"/>
          </w:rPr>
          <w:t xml:space="preserve"> J Neurol.');</w:t>
        </w:r>
      </w:hyperlink>
      <w:r w:rsidRPr="00755F49">
        <w:rPr>
          <w:color w:val="000000" w:themeColor="text1"/>
          <w:sz w:val="21"/>
          <w:szCs w:val="21"/>
        </w:rPr>
        <w:t xml:space="preserve"> 2006;13:662-5.</w:t>
      </w:r>
    </w:p>
    <w:p w:rsidR="007C5476" w:rsidRPr="00755F49" w:rsidRDefault="007C5476" w:rsidP="00755F49">
      <w:pPr>
        <w:tabs>
          <w:tab w:val="left" w:pos="432"/>
        </w:tabs>
        <w:ind w:left="432" w:hanging="432"/>
        <w:jc w:val="both"/>
        <w:rPr>
          <w:color w:val="000000" w:themeColor="text1"/>
          <w:sz w:val="21"/>
          <w:szCs w:val="21"/>
        </w:rPr>
      </w:pPr>
      <w:proofErr w:type="gramStart"/>
      <w:r w:rsidRPr="00755F49">
        <w:rPr>
          <w:color w:val="000000" w:themeColor="text1"/>
          <w:sz w:val="21"/>
          <w:szCs w:val="21"/>
        </w:rPr>
        <w:t>7.</w:t>
      </w:r>
      <w:r w:rsidRPr="00755F49">
        <w:rPr>
          <w:color w:val="000000" w:themeColor="text1"/>
          <w:sz w:val="21"/>
          <w:szCs w:val="21"/>
        </w:rPr>
        <w:tab/>
      </w:r>
      <w:proofErr w:type="spellStart"/>
      <w:r w:rsidRPr="00755F49">
        <w:rPr>
          <w:color w:val="000000" w:themeColor="text1"/>
          <w:sz w:val="21"/>
          <w:szCs w:val="21"/>
        </w:rPr>
        <w:t>Sladky</w:t>
      </w:r>
      <w:proofErr w:type="spellEnd"/>
      <w:r w:rsidRPr="00755F49">
        <w:rPr>
          <w:color w:val="000000" w:themeColor="text1"/>
          <w:sz w:val="21"/>
          <w:szCs w:val="21"/>
        </w:rPr>
        <w:t xml:space="preserve"> JT, </w:t>
      </w:r>
      <w:proofErr w:type="spellStart"/>
      <w:r w:rsidRPr="00755F49">
        <w:rPr>
          <w:color w:val="000000" w:themeColor="text1"/>
          <w:sz w:val="21"/>
          <w:szCs w:val="21"/>
        </w:rPr>
        <w:t>Ashwal</w:t>
      </w:r>
      <w:proofErr w:type="spellEnd"/>
      <w:r w:rsidRPr="00755F49">
        <w:rPr>
          <w:color w:val="000000" w:themeColor="text1"/>
          <w:sz w:val="21"/>
          <w:szCs w:val="21"/>
        </w:rPr>
        <w:t xml:space="preserve"> S. Guillain-Barre Syndrome with central nervous system manifestation.</w:t>
      </w:r>
      <w:proofErr w:type="gramEnd"/>
      <w:r w:rsidRPr="00755F49">
        <w:rPr>
          <w:color w:val="000000" w:themeColor="text1"/>
          <w:sz w:val="21"/>
          <w:szCs w:val="21"/>
        </w:rPr>
        <w:t xml:space="preserve"> In: Kenneth F, </w:t>
      </w:r>
      <w:proofErr w:type="spellStart"/>
      <w:r w:rsidRPr="00755F49">
        <w:rPr>
          <w:color w:val="000000" w:themeColor="text1"/>
          <w:sz w:val="21"/>
          <w:szCs w:val="21"/>
        </w:rPr>
        <w:t>Swaiman</w:t>
      </w:r>
      <w:proofErr w:type="spellEnd"/>
      <w:r w:rsidRPr="00755F49">
        <w:rPr>
          <w:color w:val="000000" w:themeColor="text1"/>
          <w:sz w:val="21"/>
          <w:szCs w:val="21"/>
        </w:rPr>
        <w:t xml:space="preserve"> Q, </w:t>
      </w:r>
      <w:proofErr w:type="spellStart"/>
      <w:r w:rsidRPr="00755F49">
        <w:rPr>
          <w:color w:val="000000" w:themeColor="text1"/>
          <w:sz w:val="21"/>
          <w:szCs w:val="21"/>
        </w:rPr>
        <w:t>Ashwal</w:t>
      </w:r>
      <w:proofErr w:type="spellEnd"/>
      <w:r w:rsidRPr="00755F49">
        <w:rPr>
          <w:color w:val="000000" w:themeColor="text1"/>
          <w:sz w:val="21"/>
          <w:szCs w:val="21"/>
        </w:rPr>
        <w:t xml:space="preserve"> S, Donna M. Pediatric Neurology: Principles and Practice; 4</w:t>
      </w:r>
      <w:r w:rsidRPr="00755F49">
        <w:rPr>
          <w:color w:val="000000" w:themeColor="text1"/>
          <w:sz w:val="21"/>
          <w:szCs w:val="21"/>
          <w:vertAlign w:val="superscript"/>
        </w:rPr>
        <w:t>th</w:t>
      </w:r>
      <w:r w:rsidRPr="00755F49">
        <w:rPr>
          <w:color w:val="000000" w:themeColor="text1"/>
          <w:sz w:val="21"/>
          <w:szCs w:val="21"/>
        </w:rPr>
        <w:t xml:space="preserve"> edition USA: Elsevier; 2006:1924-25.</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8.</w:t>
      </w:r>
      <w:r w:rsidRPr="00755F49">
        <w:rPr>
          <w:color w:val="000000" w:themeColor="text1"/>
          <w:sz w:val="21"/>
          <w:szCs w:val="21"/>
        </w:rPr>
        <w:tab/>
        <w:t xml:space="preserve">Shields RW, JR. </w:t>
      </w:r>
      <w:proofErr w:type="spellStart"/>
      <w:r w:rsidRPr="00755F49">
        <w:rPr>
          <w:color w:val="000000" w:themeColor="text1"/>
          <w:sz w:val="21"/>
          <w:szCs w:val="21"/>
        </w:rPr>
        <w:t>Asa</w:t>
      </w:r>
      <w:proofErr w:type="spellEnd"/>
      <w:r w:rsidRPr="00755F49">
        <w:rPr>
          <w:color w:val="000000" w:themeColor="text1"/>
          <w:sz w:val="21"/>
          <w:szCs w:val="21"/>
        </w:rPr>
        <w:t xml:space="preserve"> J. </w:t>
      </w:r>
      <w:proofErr w:type="spellStart"/>
      <w:r w:rsidRPr="00755F49">
        <w:rPr>
          <w:color w:val="000000" w:themeColor="text1"/>
          <w:sz w:val="21"/>
          <w:szCs w:val="21"/>
        </w:rPr>
        <w:t>Wilbourn</w:t>
      </w:r>
      <w:proofErr w:type="spellEnd"/>
      <w:r w:rsidRPr="00755F49">
        <w:rPr>
          <w:color w:val="000000" w:themeColor="text1"/>
          <w:sz w:val="21"/>
          <w:szCs w:val="21"/>
        </w:rPr>
        <w:t xml:space="preserve">-Acute inflammatory demyelinating </w:t>
      </w:r>
      <w:proofErr w:type="spellStart"/>
      <w:r w:rsidRPr="00755F49">
        <w:rPr>
          <w:color w:val="000000" w:themeColor="text1"/>
          <w:sz w:val="21"/>
          <w:szCs w:val="21"/>
        </w:rPr>
        <w:t>polyradiculoneuropathy</w:t>
      </w:r>
      <w:proofErr w:type="spellEnd"/>
      <w:r w:rsidRPr="00755F49">
        <w:rPr>
          <w:color w:val="000000" w:themeColor="text1"/>
          <w:sz w:val="21"/>
          <w:szCs w:val="21"/>
        </w:rPr>
        <w:t xml:space="preserve"> (Guillain-Barre syndrome). Christopher G. Goetz, Text Book of Clinical Neurology 3</w:t>
      </w:r>
      <w:r w:rsidRPr="00755F49">
        <w:rPr>
          <w:color w:val="000000" w:themeColor="text1"/>
          <w:sz w:val="21"/>
          <w:szCs w:val="21"/>
          <w:vertAlign w:val="superscript"/>
        </w:rPr>
        <w:t>rd</w:t>
      </w:r>
      <w:r w:rsidRPr="00755F49">
        <w:rPr>
          <w:color w:val="000000" w:themeColor="text1"/>
          <w:sz w:val="21"/>
          <w:szCs w:val="21"/>
        </w:rPr>
        <w:t xml:space="preserve"> edition China: Elsevier; 2007:1137-42.</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9.</w:t>
      </w:r>
      <w:r w:rsidRPr="00755F49">
        <w:rPr>
          <w:color w:val="000000" w:themeColor="text1"/>
          <w:sz w:val="21"/>
          <w:szCs w:val="21"/>
        </w:rPr>
        <w:tab/>
      </w:r>
      <w:proofErr w:type="spellStart"/>
      <w:r w:rsidRPr="00755F49">
        <w:rPr>
          <w:color w:val="000000" w:themeColor="text1"/>
          <w:sz w:val="21"/>
          <w:szCs w:val="21"/>
        </w:rPr>
        <w:t>Akbayram</w:t>
      </w:r>
      <w:proofErr w:type="spellEnd"/>
      <w:r w:rsidRPr="00755F49">
        <w:rPr>
          <w:color w:val="000000" w:themeColor="text1"/>
          <w:sz w:val="21"/>
          <w:szCs w:val="21"/>
        </w:rPr>
        <w:t xml:space="preserve"> S, </w:t>
      </w:r>
      <w:proofErr w:type="spellStart"/>
      <w:r w:rsidRPr="00755F49">
        <w:rPr>
          <w:color w:val="000000" w:themeColor="text1"/>
          <w:sz w:val="21"/>
          <w:szCs w:val="21"/>
        </w:rPr>
        <w:t>Dogan</w:t>
      </w:r>
      <w:proofErr w:type="spellEnd"/>
      <w:r w:rsidRPr="00755F49">
        <w:rPr>
          <w:color w:val="000000" w:themeColor="text1"/>
          <w:sz w:val="21"/>
          <w:szCs w:val="21"/>
        </w:rPr>
        <w:t xml:space="preserve"> M, </w:t>
      </w:r>
      <w:proofErr w:type="spellStart"/>
      <w:r w:rsidRPr="00755F49">
        <w:rPr>
          <w:color w:val="000000" w:themeColor="text1"/>
          <w:sz w:val="21"/>
          <w:szCs w:val="21"/>
        </w:rPr>
        <w:t>Akgun</w:t>
      </w:r>
      <w:proofErr w:type="spellEnd"/>
      <w:r w:rsidRPr="00755F49">
        <w:rPr>
          <w:color w:val="000000" w:themeColor="text1"/>
          <w:sz w:val="21"/>
          <w:szCs w:val="21"/>
        </w:rPr>
        <w:t xml:space="preserve"> C, </w:t>
      </w:r>
      <w:proofErr w:type="spellStart"/>
      <w:r w:rsidRPr="00755F49">
        <w:rPr>
          <w:color w:val="000000" w:themeColor="text1"/>
          <w:sz w:val="21"/>
          <w:szCs w:val="21"/>
        </w:rPr>
        <w:t>Peker</w:t>
      </w:r>
      <w:proofErr w:type="spellEnd"/>
      <w:r w:rsidRPr="00755F49">
        <w:rPr>
          <w:color w:val="000000" w:themeColor="text1"/>
          <w:sz w:val="21"/>
          <w:szCs w:val="21"/>
        </w:rPr>
        <w:t xml:space="preserve"> E, </w:t>
      </w:r>
      <w:proofErr w:type="spellStart"/>
      <w:r w:rsidRPr="00755F49">
        <w:rPr>
          <w:color w:val="000000" w:themeColor="text1"/>
          <w:sz w:val="21"/>
          <w:szCs w:val="21"/>
        </w:rPr>
        <w:t>Sayin</w:t>
      </w:r>
      <w:proofErr w:type="spellEnd"/>
      <w:r w:rsidRPr="00755F49">
        <w:rPr>
          <w:color w:val="000000" w:themeColor="text1"/>
          <w:sz w:val="21"/>
          <w:szCs w:val="21"/>
        </w:rPr>
        <w:t xml:space="preserve"> R, </w:t>
      </w:r>
      <w:proofErr w:type="spellStart"/>
      <w:r w:rsidRPr="00755F49">
        <w:rPr>
          <w:color w:val="000000" w:themeColor="text1"/>
          <w:sz w:val="21"/>
          <w:szCs w:val="21"/>
        </w:rPr>
        <w:t>Aktar</w:t>
      </w:r>
      <w:proofErr w:type="spellEnd"/>
      <w:r w:rsidRPr="00755F49">
        <w:rPr>
          <w:color w:val="000000" w:themeColor="text1"/>
          <w:sz w:val="21"/>
          <w:szCs w:val="21"/>
        </w:rPr>
        <w:t xml:space="preserve"> F, et al. Clinical features and prognosis with GBS. Ann Indian </w:t>
      </w:r>
      <w:proofErr w:type="spellStart"/>
      <w:r w:rsidRPr="00755F49">
        <w:rPr>
          <w:color w:val="000000" w:themeColor="text1"/>
          <w:sz w:val="21"/>
          <w:szCs w:val="21"/>
        </w:rPr>
        <w:t>Acad</w:t>
      </w:r>
      <w:proofErr w:type="spellEnd"/>
      <w:r w:rsidRPr="00755F49">
        <w:rPr>
          <w:color w:val="000000" w:themeColor="text1"/>
          <w:sz w:val="21"/>
          <w:szCs w:val="21"/>
        </w:rPr>
        <w:t xml:space="preserve"> </w:t>
      </w:r>
      <w:proofErr w:type="spellStart"/>
      <w:r w:rsidRPr="00755F49">
        <w:rPr>
          <w:color w:val="000000" w:themeColor="text1"/>
          <w:sz w:val="21"/>
          <w:szCs w:val="21"/>
        </w:rPr>
        <w:t>Neurol</w:t>
      </w:r>
      <w:proofErr w:type="spellEnd"/>
      <w:r w:rsidRPr="00755F49">
        <w:rPr>
          <w:color w:val="000000" w:themeColor="text1"/>
          <w:sz w:val="21"/>
          <w:szCs w:val="21"/>
        </w:rPr>
        <w:t xml:space="preserve"> 2011; 14:98-102.</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10.</w:t>
      </w:r>
      <w:r w:rsidRPr="00755F49">
        <w:rPr>
          <w:color w:val="000000" w:themeColor="text1"/>
          <w:sz w:val="21"/>
          <w:szCs w:val="21"/>
        </w:rPr>
        <w:tab/>
      </w:r>
      <w:proofErr w:type="spellStart"/>
      <w:r w:rsidRPr="00755F49">
        <w:rPr>
          <w:color w:val="000000" w:themeColor="text1"/>
          <w:sz w:val="21"/>
          <w:szCs w:val="21"/>
        </w:rPr>
        <w:t>Kuwabara</w:t>
      </w:r>
      <w:proofErr w:type="spellEnd"/>
      <w:r w:rsidRPr="00755F49">
        <w:rPr>
          <w:color w:val="000000" w:themeColor="text1"/>
          <w:sz w:val="21"/>
          <w:szCs w:val="21"/>
        </w:rPr>
        <w:t xml:space="preserve"> S. Guillain-Barre syndrome: epidemiology, pathophysiology and management. </w:t>
      </w:r>
      <w:proofErr w:type="gramStart"/>
      <w:r w:rsidRPr="00755F49">
        <w:rPr>
          <w:rStyle w:val="Emphasis"/>
          <w:i w:val="0"/>
          <w:color w:val="000000" w:themeColor="text1"/>
          <w:sz w:val="21"/>
          <w:szCs w:val="21"/>
        </w:rPr>
        <w:t xml:space="preserve">Drugs </w:t>
      </w:r>
      <w:r w:rsidRPr="00755F49">
        <w:rPr>
          <w:color w:val="000000" w:themeColor="text1"/>
          <w:sz w:val="21"/>
          <w:szCs w:val="21"/>
        </w:rPr>
        <w:t xml:space="preserve"> 2004</w:t>
      </w:r>
      <w:proofErr w:type="gramEnd"/>
      <w:r w:rsidRPr="00755F49">
        <w:rPr>
          <w:color w:val="000000" w:themeColor="text1"/>
          <w:sz w:val="21"/>
          <w:szCs w:val="21"/>
        </w:rPr>
        <w:t>;64:597-610.</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11.</w:t>
      </w:r>
      <w:r w:rsidRPr="00755F49">
        <w:rPr>
          <w:color w:val="000000" w:themeColor="text1"/>
          <w:sz w:val="21"/>
          <w:szCs w:val="21"/>
        </w:rPr>
        <w:tab/>
        <w:t xml:space="preserve">Lee JH, Sung IY, </w:t>
      </w:r>
      <w:proofErr w:type="spellStart"/>
      <w:r w:rsidRPr="00755F49">
        <w:rPr>
          <w:color w:val="000000" w:themeColor="text1"/>
          <w:sz w:val="21"/>
          <w:szCs w:val="21"/>
        </w:rPr>
        <w:t>Rew</w:t>
      </w:r>
      <w:proofErr w:type="spellEnd"/>
      <w:r w:rsidRPr="00755F49">
        <w:rPr>
          <w:color w:val="000000" w:themeColor="text1"/>
          <w:sz w:val="21"/>
          <w:szCs w:val="21"/>
        </w:rPr>
        <w:t xml:space="preserve"> IS. </w:t>
      </w:r>
      <w:proofErr w:type="gramStart"/>
      <w:r w:rsidRPr="00755F49">
        <w:rPr>
          <w:color w:val="000000" w:themeColor="text1"/>
          <w:sz w:val="21"/>
          <w:szCs w:val="21"/>
        </w:rPr>
        <w:t xml:space="preserve">Clinical presentation and prognosis of childhood </w:t>
      </w:r>
      <w:proofErr w:type="spellStart"/>
      <w:r w:rsidRPr="00755F49">
        <w:rPr>
          <w:color w:val="000000" w:themeColor="text1"/>
          <w:sz w:val="21"/>
          <w:szCs w:val="21"/>
        </w:rPr>
        <w:t>Guillain-Barré</w:t>
      </w:r>
      <w:proofErr w:type="spellEnd"/>
      <w:r w:rsidRPr="00755F49">
        <w:rPr>
          <w:color w:val="000000" w:themeColor="text1"/>
          <w:sz w:val="21"/>
          <w:szCs w:val="21"/>
        </w:rPr>
        <w:t xml:space="preserve"> syndrome.</w:t>
      </w:r>
      <w:proofErr w:type="gramEnd"/>
      <w:r w:rsidRPr="00755F49">
        <w:rPr>
          <w:color w:val="000000" w:themeColor="text1"/>
          <w:sz w:val="21"/>
          <w:szCs w:val="21"/>
        </w:rPr>
        <w:t xml:space="preserve"> </w:t>
      </w:r>
      <w:r w:rsidRPr="00755F49">
        <w:rPr>
          <w:rStyle w:val="Emphasis"/>
          <w:i w:val="0"/>
          <w:color w:val="000000" w:themeColor="text1"/>
          <w:sz w:val="21"/>
          <w:szCs w:val="21"/>
        </w:rPr>
        <w:t xml:space="preserve">J </w:t>
      </w:r>
      <w:proofErr w:type="spellStart"/>
      <w:r w:rsidRPr="00755F49">
        <w:rPr>
          <w:rStyle w:val="Emphasis"/>
          <w:i w:val="0"/>
          <w:color w:val="000000" w:themeColor="text1"/>
          <w:sz w:val="21"/>
          <w:szCs w:val="21"/>
        </w:rPr>
        <w:t>Paediatr</w:t>
      </w:r>
      <w:proofErr w:type="spellEnd"/>
      <w:r w:rsidRPr="00755F49">
        <w:rPr>
          <w:rStyle w:val="Emphasis"/>
          <w:i w:val="0"/>
          <w:color w:val="000000" w:themeColor="text1"/>
          <w:sz w:val="21"/>
          <w:szCs w:val="21"/>
        </w:rPr>
        <w:t xml:space="preserve"> Child </w:t>
      </w:r>
      <w:proofErr w:type="gramStart"/>
      <w:r w:rsidRPr="00755F49">
        <w:rPr>
          <w:rStyle w:val="Emphasis"/>
          <w:i w:val="0"/>
          <w:color w:val="000000" w:themeColor="text1"/>
          <w:sz w:val="21"/>
          <w:szCs w:val="21"/>
        </w:rPr>
        <w:t xml:space="preserve">Health </w:t>
      </w:r>
      <w:r w:rsidRPr="00755F49">
        <w:rPr>
          <w:color w:val="000000" w:themeColor="text1"/>
          <w:sz w:val="21"/>
          <w:szCs w:val="21"/>
        </w:rPr>
        <w:t xml:space="preserve"> 2008</w:t>
      </w:r>
      <w:proofErr w:type="gramEnd"/>
      <w:r w:rsidRPr="00755F49">
        <w:rPr>
          <w:color w:val="000000" w:themeColor="text1"/>
          <w:sz w:val="21"/>
          <w:szCs w:val="21"/>
        </w:rPr>
        <w:t>;44:449-54.</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12.</w:t>
      </w:r>
      <w:r w:rsidRPr="00755F49">
        <w:rPr>
          <w:color w:val="000000" w:themeColor="text1"/>
          <w:sz w:val="21"/>
          <w:szCs w:val="21"/>
        </w:rPr>
        <w:tab/>
      </w:r>
      <w:proofErr w:type="spellStart"/>
      <w:r w:rsidRPr="00755F49">
        <w:rPr>
          <w:color w:val="000000" w:themeColor="text1"/>
          <w:sz w:val="21"/>
          <w:szCs w:val="21"/>
        </w:rPr>
        <w:t>Seneviratne</w:t>
      </w:r>
      <w:proofErr w:type="spellEnd"/>
      <w:r w:rsidRPr="00755F49">
        <w:rPr>
          <w:color w:val="000000" w:themeColor="text1"/>
          <w:sz w:val="21"/>
          <w:szCs w:val="21"/>
        </w:rPr>
        <w:t xml:space="preserve"> U. Guillain-Barre syndrome. </w:t>
      </w:r>
      <w:r w:rsidRPr="00755F49">
        <w:rPr>
          <w:rStyle w:val="Emphasis"/>
          <w:i w:val="0"/>
          <w:color w:val="000000" w:themeColor="text1"/>
          <w:sz w:val="21"/>
          <w:szCs w:val="21"/>
        </w:rPr>
        <w:t xml:space="preserve">Postgrad Med J </w:t>
      </w:r>
      <w:r w:rsidRPr="00755F49">
        <w:rPr>
          <w:color w:val="000000" w:themeColor="text1"/>
          <w:sz w:val="21"/>
          <w:szCs w:val="21"/>
        </w:rPr>
        <w:t>2000</w:t>
      </w:r>
      <w:proofErr w:type="gramStart"/>
      <w:r w:rsidRPr="00755F49">
        <w:rPr>
          <w:color w:val="000000" w:themeColor="text1"/>
          <w:sz w:val="21"/>
          <w:szCs w:val="21"/>
        </w:rPr>
        <w:t>;76:774</w:t>
      </w:r>
      <w:proofErr w:type="gramEnd"/>
      <w:r w:rsidRPr="00755F49">
        <w:rPr>
          <w:color w:val="000000" w:themeColor="text1"/>
          <w:sz w:val="21"/>
          <w:szCs w:val="21"/>
        </w:rPr>
        <w:t>-82.</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13.</w:t>
      </w:r>
      <w:r w:rsidRPr="00755F49">
        <w:rPr>
          <w:color w:val="000000" w:themeColor="text1"/>
          <w:sz w:val="21"/>
          <w:szCs w:val="21"/>
        </w:rPr>
        <w:tab/>
        <w:t xml:space="preserve">Kimoto K, Koga M, </w:t>
      </w:r>
      <w:proofErr w:type="spellStart"/>
      <w:r w:rsidRPr="00755F49">
        <w:rPr>
          <w:color w:val="000000" w:themeColor="text1"/>
          <w:sz w:val="21"/>
          <w:szCs w:val="21"/>
        </w:rPr>
        <w:t>Odaka</w:t>
      </w:r>
      <w:proofErr w:type="spellEnd"/>
      <w:r w:rsidRPr="00755F49">
        <w:rPr>
          <w:color w:val="000000" w:themeColor="text1"/>
          <w:sz w:val="21"/>
          <w:szCs w:val="21"/>
        </w:rPr>
        <w:t xml:space="preserve"> M, Hirata K, Takahashi M, Li J, et al. Relationship of bacterial strains to clinical syndromes of Campylobacter-</w:t>
      </w:r>
      <w:r w:rsidRPr="00755F49">
        <w:rPr>
          <w:color w:val="000000" w:themeColor="text1"/>
          <w:sz w:val="21"/>
          <w:szCs w:val="21"/>
        </w:rPr>
        <w:lastRenderedPageBreak/>
        <w:t xml:space="preserve">associated neuropathies. </w:t>
      </w:r>
      <w:r w:rsidRPr="00755F49">
        <w:rPr>
          <w:rStyle w:val="Emphasis"/>
          <w:i w:val="0"/>
          <w:color w:val="000000" w:themeColor="text1"/>
          <w:sz w:val="21"/>
          <w:szCs w:val="21"/>
        </w:rPr>
        <w:t xml:space="preserve">Neurology </w:t>
      </w:r>
      <w:r w:rsidRPr="00755F49">
        <w:rPr>
          <w:color w:val="000000" w:themeColor="text1"/>
          <w:sz w:val="21"/>
          <w:szCs w:val="21"/>
        </w:rPr>
        <w:t>2006</w:t>
      </w:r>
      <w:proofErr w:type="gramStart"/>
      <w:r w:rsidRPr="00755F49">
        <w:rPr>
          <w:color w:val="000000" w:themeColor="text1"/>
          <w:sz w:val="21"/>
          <w:szCs w:val="21"/>
        </w:rPr>
        <w:t>;67:1837</w:t>
      </w:r>
      <w:proofErr w:type="gramEnd"/>
      <w:r w:rsidRPr="00755F49">
        <w:rPr>
          <w:color w:val="000000" w:themeColor="text1"/>
          <w:sz w:val="21"/>
          <w:szCs w:val="21"/>
        </w:rPr>
        <w:t>-43.</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14.</w:t>
      </w:r>
      <w:r w:rsidRPr="00755F49">
        <w:rPr>
          <w:color w:val="000000" w:themeColor="text1"/>
          <w:sz w:val="21"/>
          <w:szCs w:val="21"/>
        </w:rPr>
        <w:tab/>
      </w:r>
      <w:proofErr w:type="spellStart"/>
      <w:r w:rsidRPr="00755F49">
        <w:rPr>
          <w:color w:val="000000" w:themeColor="text1"/>
          <w:sz w:val="21"/>
          <w:szCs w:val="21"/>
        </w:rPr>
        <w:t>Souayah</w:t>
      </w:r>
      <w:proofErr w:type="spellEnd"/>
      <w:r w:rsidRPr="00755F49">
        <w:rPr>
          <w:color w:val="000000" w:themeColor="text1"/>
          <w:sz w:val="21"/>
          <w:szCs w:val="21"/>
        </w:rPr>
        <w:t xml:space="preserve"> N, </w:t>
      </w:r>
      <w:proofErr w:type="spellStart"/>
      <w:r w:rsidRPr="00755F49">
        <w:rPr>
          <w:color w:val="000000" w:themeColor="text1"/>
          <w:sz w:val="21"/>
          <w:szCs w:val="21"/>
        </w:rPr>
        <w:t>Nasar</w:t>
      </w:r>
      <w:proofErr w:type="spellEnd"/>
      <w:r w:rsidRPr="00755F49">
        <w:rPr>
          <w:color w:val="000000" w:themeColor="text1"/>
          <w:sz w:val="21"/>
          <w:szCs w:val="21"/>
        </w:rPr>
        <w:t xml:space="preserve"> A, </w:t>
      </w:r>
      <w:proofErr w:type="spellStart"/>
      <w:r w:rsidRPr="00755F49">
        <w:rPr>
          <w:color w:val="000000" w:themeColor="text1"/>
          <w:sz w:val="21"/>
          <w:szCs w:val="21"/>
        </w:rPr>
        <w:t>Suri</w:t>
      </w:r>
      <w:proofErr w:type="spellEnd"/>
      <w:r w:rsidRPr="00755F49">
        <w:rPr>
          <w:color w:val="000000" w:themeColor="text1"/>
          <w:sz w:val="21"/>
          <w:szCs w:val="21"/>
        </w:rPr>
        <w:t xml:space="preserve"> MF, </w:t>
      </w:r>
      <w:proofErr w:type="spellStart"/>
      <w:r w:rsidRPr="00755F49">
        <w:rPr>
          <w:color w:val="000000" w:themeColor="text1"/>
          <w:sz w:val="21"/>
          <w:szCs w:val="21"/>
        </w:rPr>
        <w:t>Qureshi</w:t>
      </w:r>
      <w:proofErr w:type="spellEnd"/>
      <w:r w:rsidRPr="00755F49">
        <w:rPr>
          <w:color w:val="000000" w:themeColor="text1"/>
          <w:sz w:val="21"/>
          <w:szCs w:val="21"/>
        </w:rPr>
        <w:t xml:space="preserve"> AI. Guillain-Barre syndrome after vaccination in United States: data from the Centers for Disease Control and Prevention/Food and Drug Administration Vaccine Adverse Event Reporting System (1990-2005). </w:t>
      </w:r>
      <w:r w:rsidRPr="00755F49">
        <w:rPr>
          <w:rStyle w:val="Emphasis"/>
          <w:i w:val="0"/>
          <w:color w:val="000000" w:themeColor="text1"/>
          <w:sz w:val="21"/>
          <w:szCs w:val="21"/>
        </w:rPr>
        <w:t xml:space="preserve">J </w:t>
      </w:r>
      <w:proofErr w:type="spellStart"/>
      <w:r w:rsidRPr="00755F49">
        <w:rPr>
          <w:rStyle w:val="Emphasis"/>
          <w:i w:val="0"/>
          <w:color w:val="000000" w:themeColor="text1"/>
          <w:sz w:val="21"/>
          <w:szCs w:val="21"/>
        </w:rPr>
        <w:t>Clin</w:t>
      </w:r>
      <w:proofErr w:type="spellEnd"/>
      <w:r w:rsidRPr="00755F49">
        <w:rPr>
          <w:rStyle w:val="Emphasis"/>
          <w:i w:val="0"/>
          <w:color w:val="000000" w:themeColor="text1"/>
          <w:sz w:val="21"/>
          <w:szCs w:val="21"/>
        </w:rPr>
        <w:t xml:space="preserve"> </w:t>
      </w:r>
      <w:proofErr w:type="spellStart"/>
      <w:r w:rsidRPr="00755F49">
        <w:rPr>
          <w:rStyle w:val="Emphasis"/>
          <w:i w:val="0"/>
          <w:color w:val="000000" w:themeColor="text1"/>
          <w:sz w:val="21"/>
          <w:szCs w:val="21"/>
        </w:rPr>
        <w:t>Neuromuscul</w:t>
      </w:r>
      <w:proofErr w:type="spellEnd"/>
      <w:r w:rsidRPr="00755F49">
        <w:rPr>
          <w:rStyle w:val="Emphasis"/>
          <w:i w:val="0"/>
          <w:color w:val="000000" w:themeColor="text1"/>
          <w:sz w:val="21"/>
          <w:szCs w:val="21"/>
        </w:rPr>
        <w:t xml:space="preserve"> Dis </w:t>
      </w:r>
      <w:r w:rsidRPr="00755F49">
        <w:rPr>
          <w:color w:val="000000" w:themeColor="text1"/>
          <w:sz w:val="21"/>
          <w:szCs w:val="21"/>
        </w:rPr>
        <w:t>2009</w:t>
      </w:r>
      <w:proofErr w:type="gramStart"/>
      <w:r w:rsidRPr="00755F49">
        <w:rPr>
          <w:color w:val="000000" w:themeColor="text1"/>
          <w:sz w:val="21"/>
          <w:szCs w:val="21"/>
        </w:rPr>
        <w:t>;11:1</w:t>
      </w:r>
      <w:proofErr w:type="gramEnd"/>
      <w:r w:rsidRPr="00755F49">
        <w:rPr>
          <w:color w:val="000000" w:themeColor="text1"/>
          <w:sz w:val="21"/>
          <w:szCs w:val="21"/>
        </w:rPr>
        <w:t>-6.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15.</w:t>
      </w:r>
      <w:r w:rsidRPr="00755F49">
        <w:rPr>
          <w:color w:val="000000" w:themeColor="text1"/>
          <w:sz w:val="21"/>
          <w:szCs w:val="21"/>
        </w:rPr>
        <w:tab/>
        <w:t xml:space="preserve">CDC. </w:t>
      </w:r>
      <w:proofErr w:type="gramStart"/>
      <w:r w:rsidRPr="00755F49">
        <w:rPr>
          <w:color w:val="000000" w:themeColor="text1"/>
          <w:sz w:val="21"/>
          <w:szCs w:val="21"/>
        </w:rPr>
        <w:t>Estimating Deaths from Seasonal Influenza in the United States.</w:t>
      </w:r>
      <w:proofErr w:type="gramEnd"/>
      <w:r w:rsidRPr="00755F49">
        <w:rPr>
          <w:color w:val="000000" w:themeColor="text1"/>
          <w:sz w:val="21"/>
          <w:szCs w:val="21"/>
        </w:rPr>
        <w:t xml:space="preserve"> </w:t>
      </w:r>
      <w:proofErr w:type="gramStart"/>
      <w:r w:rsidRPr="00755F49">
        <w:rPr>
          <w:color w:val="000000" w:themeColor="text1"/>
          <w:sz w:val="21"/>
          <w:szCs w:val="21"/>
        </w:rPr>
        <w:t>Accessed Dec 22, 2009.</w:t>
      </w:r>
      <w:proofErr w:type="gramEnd"/>
      <w:r w:rsidRPr="00755F49">
        <w:rPr>
          <w:color w:val="000000" w:themeColor="text1"/>
          <w:sz w:val="21"/>
          <w:szCs w:val="21"/>
        </w:rPr>
        <w:t xml:space="preserve"> </w:t>
      </w:r>
      <w:proofErr w:type="gramStart"/>
      <w:r w:rsidRPr="00755F49">
        <w:rPr>
          <w:color w:val="000000" w:themeColor="text1"/>
          <w:sz w:val="21"/>
          <w:szCs w:val="21"/>
        </w:rPr>
        <w:t xml:space="preserve">Available at </w:t>
      </w:r>
      <w:hyperlink r:id="rId10" w:tgtFrame="_blank" w:history="1">
        <w:r w:rsidRPr="00755F49">
          <w:rPr>
            <w:rStyle w:val="Hyperlink"/>
            <w:color w:val="000000" w:themeColor="text1"/>
            <w:sz w:val="21"/>
            <w:szCs w:val="21"/>
          </w:rPr>
          <w:t>http://www.cdc.gov/flu/about/disease/us_flu-related_deaths.htm</w:t>
        </w:r>
      </w:hyperlink>
      <w:r w:rsidRPr="00755F49">
        <w:rPr>
          <w:color w:val="000000" w:themeColor="text1"/>
          <w:sz w:val="21"/>
          <w:szCs w:val="21"/>
        </w:rPr>
        <w:t>.</w:t>
      </w:r>
      <w:proofErr w:type="gramEnd"/>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16.</w:t>
      </w:r>
      <w:r w:rsidRPr="00755F49">
        <w:rPr>
          <w:color w:val="000000" w:themeColor="text1"/>
          <w:sz w:val="21"/>
          <w:szCs w:val="21"/>
        </w:rPr>
        <w:tab/>
        <w:t xml:space="preserve">Preliminary results: surveillance for Guillain-Barre syndrome after receipt of influenza A (H1N1) 2009 monovalent vaccine - United States, 2009-2010. </w:t>
      </w:r>
      <w:r w:rsidRPr="00755F49">
        <w:rPr>
          <w:rStyle w:val="Emphasis"/>
          <w:i w:val="0"/>
          <w:color w:val="000000" w:themeColor="text1"/>
          <w:sz w:val="21"/>
          <w:szCs w:val="21"/>
        </w:rPr>
        <w:t xml:space="preserve">MMWR </w:t>
      </w:r>
      <w:proofErr w:type="spellStart"/>
      <w:r w:rsidRPr="00755F49">
        <w:rPr>
          <w:rStyle w:val="Emphasis"/>
          <w:i w:val="0"/>
          <w:color w:val="000000" w:themeColor="text1"/>
          <w:sz w:val="21"/>
          <w:szCs w:val="21"/>
        </w:rPr>
        <w:t>Morb</w:t>
      </w:r>
      <w:proofErr w:type="spellEnd"/>
      <w:r w:rsidRPr="00755F49">
        <w:rPr>
          <w:rStyle w:val="Emphasis"/>
          <w:i w:val="0"/>
          <w:color w:val="000000" w:themeColor="text1"/>
          <w:sz w:val="21"/>
          <w:szCs w:val="21"/>
        </w:rPr>
        <w:t xml:space="preserve"> Mortal </w:t>
      </w:r>
      <w:proofErr w:type="spellStart"/>
      <w:r w:rsidRPr="00755F49">
        <w:rPr>
          <w:rStyle w:val="Emphasis"/>
          <w:i w:val="0"/>
          <w:color w:val="000000" w:themeColor="text1"/>
          <w:sz w:val="21"/>
          <w:szCs w:val="21"/>
        </w:rPr>
        <w:t>Wkly</w:t>
      </w:r>
      <w:proofErr w:type="spellEnd"/>
      <w:r w:rsidRPr="00755F49">
        <w:rPr>
          <w:rStyle w:val="Emphasis"/>
          <w:i w:val="0"/>
          <w:color w:val="000000" w:themeColor="text1"/>
          <w:sz w:val="21"/>
          <w:szCs w:val="21"/>
        </w:rPr>
        <w:t xml:space="preserve"> Rep </w:t>
      </w:r>
      <w:r w:rsidRPr="00755F49">
        <w:rPr>
          <w:color w:val="000000" w:themeColor="text1"/>
          <w:sz w:val="21"/>
          <w:szCs w:val="21"/>
        </w:rPr>
        <w:t>2010</w:t>
      </w:r>
      <w:proofErr w:type="gramStart"/>
      <w:r w:rsidRPr="00755F49">
        <w:rPr>
          <w:color w:val="000000" w:themeColor="text1"/>
          <w:sz w:val="21"/>
          <w:szCs w:val="21"/>
        </w:rPr>
        <w:t>;59:657</w:t>
      </w:r>
      <w:proofErr w:type="gramEnd"/>
      <w:r w:rsidRPr="00755F49">
        <w:rPr>
          <w:color w:val="000000" w:themeColor="text1"/>
          <w:sz w:val="21"/>
          <w:szCs w:val="21"/>
        </w:rPr>
        <w:t>-61.</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17.</w:t>
      </w:r>
      <w:r w:rsidRPr="00755F49">
        <w:rPr>
          <w:color w:val="000000" w:themeColor="text1"/>
          <w:sz w:val="21"/>
          <w:szCs w:val="21"/>
        </w:rPr>
        <w:tab/>
        <w:t xml:space="preserve">World Health Organization. </w:t>
      </w:r>
      <w:proofErr w:type="spellStart"/>
      <w:proofErr w:type="gramStart"/>
      <w:r w:rsidRPr="00755F49">
        <w:rPr>
          <w:color w:val="000000" w:themeColor="text1"/>
          <w:sz w:val="21"/>
          <w:szCs w:val="21"/>
        </w:rPr>
        <w:t>Programmes</w:t>
      </w:r>
      <w:proofErr w:type="spellEnd"/>
      <w:r w:rsidRPr="00755F49">
        <w:rPr>
          <w:color w:val="000000" w:themeColor="text1"/>
          <w:sz w:val="21"/>
          <w:szCs w:val="21"/>
        </w:rPr>
        <w:t xml:space="preserve"> and Projects - Global Alert and Response (GAR).</w:t>
      </w:r>
      <w:proofErr w:type="gramEnd"/>
      <w:r w:rsidRPr="00755F49">
        <w:rPr>
          <w:color w:val="000000" w:themeColor="text1"/>
          <w:sz w:val="21"/>
          <w:szCs w:val="21"/>
        </w:rPr>
        <w:t xml:space="preserve"> </w:t>
      </w:r>
      <w:proofErr w:type="gramStart"/>
      <w:r w:rsidRPr="00755F49">
        <w:rPr>
          <w:color w:val="000000" w:themeColor="text1"/>
          <w:sz w:val="21"/>
          <w:szCs w:val="21"/>
        </w:rPr>
        <w:t>Pandemic (H1N1) 2009 briefing notes.</w:t>
      </w:r>
      <w:proofErr w:type="gramEnd"/>
      <w:r w:rsidRPr="00755F49">
        <w:rPr>
          <w:color w:val="000000" w:themeColor="text1"/>
          <w:sz w:val="21"/>
          <w:szCs w:val="21"/>
        </w:rPr>
        <w:t xml:space="preserve"> </w:t>
      </w:r>
      <w:proofErr w:type="gramStart"/>
      <w:r w:rsidRPr="00755F49">
        <w:rPr>
          <w:color w:val="000000" w:themeColor="text1"/>
          <w:sz w:val="21"/>
          <w:szCs w:val="21"/>
        </w:rPr>
        <w:t>World Health Organization.</w:t>
      </w:r>
      <w:proofErr w:type="gramEnd"/>
      <w:r w:rsidRPr="00755F49">
        <w:rPr>
          <w:color w:val="000000" w:themeColor="text1"/>
          <w:sz w:val="21"/>
          <w:szCs w:val="21"/>
        </w:rPr>
        <w:t xml:space="preserve"> </w:t>
      </w:r>
      <w:proofErr w:type="gramStart"/>
      <w:r w:rsidRPr="00755F49">
        <w:rPr>
          <w:color w:val="000000" w:themeColor="text1"/>
          <w:sz w:val="21"/>
          <w:szCs w:val="21"/>
        </w:rPr>
        <w:t>Available at</w:t>
      </w:r>
      <w:hyperlink r:id="rId11" w:tgtFrame="_blank" w:history="1">
        <w:r w:rsidRPr="00755F49">
          <w:rPr>
            <w:rStyle w:val="Hyperlink"/>
            <w:color w:val="000000" w:themeColor="text1"/>
            <w:sz w:val="21"/>
            <w:szCs w:val="21"/>
          </w:rPr>
          <w:t>http://www.who.int/csr/disease/swineflu/notes/briefing_20091119/en/</w:t>
        </w:r>
      </w:hyperlink>
      <w:r w:rsidRPr="00755F49">
        <w:rPr>
          <w:color w:val="000000" w:themeColor="text1"/>
          <w:sz w:val="21"/>
          <w:szCs w:val="21"/>
        </w:rPr>
        <w:t>.</w:t>
      </w:r>
      <w:proofErr w:type="gramEnd"/>
      <w:r w:rsidRPr="00755F49">
        <w:rPr>
          <w:color w:val="000000" w:themeColor="text1"/>
          <w:sz w:val="21"/>
          <w:szCs w:val="21"/>
        </w:rPr>
        <w:t xml:space="preserve"> </w:t>
      </w:r>
      <w:proofErr w:type="gramStart"/>
      <w:r w:rsidRPr="00755F49">
        <w:rPr>
          <w:color w:val="000000" w:themeColor="text1"/>
          <w:sz w:val="21"/>
          <w:szCs w:val="21"/>
        </w:rPr>
        <w:t>Accessed January 8, 2012.</w:t>
      </w:r>
      <w:proofErr w:type="gramEnd"/>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18.</w:t>
      </w:r>
      <w:r w:rsidRPr="00755F49">
        <w:rPr>
          <w:color w:val="000000" w:themeColor="text1"/>
          <w:sz w:val="21"/>
          <w:szCs w:val="21"/>
        </w:rPr>
        <w:tab/>
        <w:t xml:space="preserve">Tremblay ME, </w:t>
      </w:r>
      <w:proofErr w:type="spellStart"/>
      <w:r w:rsidRPr="00755F49">
        <w:rPr>
          <w:color w:val="000000" w:themeColor="text1"/>
          <w:sz w:val="21"/>
          <w:szCs w:val="21"/>
        </w:rPr>
        <w:t>Closon</w:t>
      </w:r>
      <w:proofErr w:type="spellEnd"/>
      <w:r w:rsidRPr="00755F49">
        <w:rPr>
          <w:color w:val="000000" w:themeColor="text1"/>
          <w:sz w:val="21"/>
          <w:szCs w:val="21"/>
        </w:rPr>
        <w:t xml:space="preserve"> A, </w:t>
      </w:r>
      <w:proofErr w:type="spellStart"/>
      <w:r w:rsidRPr="00755F49">
        <w:rPr>
          <w:color w:val="000000" w:themeColor="text1"/>
          <w:sz w:val="21"/>
          <w:szCs w:val="21"/>
        </w:rPr>
        <w:t>D'Anjou</w:t>
      </w:r>
      <w:proofErr w:type="spellEnd"/>
      <w:r w:rsidRPr="00755F49">
        <w:rPr>
          <w:color w:val="000000" w:themeColor="text1"/>
          <w:sz w:val="21"/>
          <w:szCs w:val="21"/>
        </w:rPr>
        <w:t xml:space="preserve"> G, </w:t>
      </w:r>
      <w:proofErr w:type="spellStart"/>
      <w:r w:rsidRPr="00755F49">
        <w:rPr>
          <w:color w:val="000000" w:themeColor="text1"/>
          <w:sz w:val="21"/>
          <w:szCs w:val="21"/>
        </w:rPr>
        <w:t>Bussieres</w:t>
      </w:r>
      <w:proofErr w:type="spellEnd"/>
      <w:r w:rsidRPr="00755F49">
        <w:rPr>
          <w:color w:val="000000" w:themeColor="text1"/>
          <w:sz w:val="21"/>
          <w:szCs w:val="21"/>
        </w:rPr>
        <w:t xml:space="preserve"> JF. </w:t>
      </w:r>
      <w:proofErr w:type="gramStart"/>
      <w:r w:rsidRPr="00755F49">
        <w:rPr>
          <w:color w:val="000000" w:themeColor="text1"/>
          <w:sz w:val="21"/>
          <w:szCs w:val="21"/>
        </w:rPr>
        <w:t>Guillain-Barre syndrome following H1N1 immunization in a pediatric patient.</w:t>
      </w:r>
      <w:proofErr w:type="gramEnd"/>
      <w:r w:rsidRPr="00755F49">
        <w:rPr>
          <w:color w:val="000000" w:themeColor="text1"/>
          <w:sz w:val="21"/>
          <w:szCs w:val="21"/>
        </w:rPr>
        <w:t xml:space="preserve"> </w:t>
      </w:r>
      <w:r w:rsidRPr="00755F49">
        <w:rPr>
          <w:rStyle w:val="Emphasis"/>
          <w:i w:val="0"/>
          <w:color w:val="000000" w:themeColor="text1"/>
          <w:sz w:val="21"/>
          <w:szCs w:val="21"/>
        </w:rPr>
        <w:t xml:space="preserve">Ann </w:t>
      </w:r>
      <w:proofErr w:type="spellStart"/>
      <w:r w:rsidRPr="00755F49">
        <w:rPr>
          <w:rStyle w:val="Emphasis"/>
          <w:i w:val="0"/>
          <w:color w:val="000000" w:themeColor="text1"/>
          <w:sz w:val="21"/>
          <w:szCs w:val="21"/>
        </w:rPr>
        <w:t>Pharmacother</w:t>
      </w:r>
      <w:proofErr w:type="spellEnd"/>
      <w:r w:rsidRPr="00755F49">
        <w:rPr>
          <w:rStyle w:val="Emphasis"/>
          <w:i w:val="0"/>
          <w:color w:val="000000" w:themeColor="text1"/>
          <w:sz w:val="21"/>
          <w:szCs w:val="21"/>
        </w:rPr>
        <w:t xml:space="preserve"> </w:t>
      </w:r>
      <w:r w:rsidRPr="00755F49">
        <w:rPr>
          <w:color w:val="000000" w:themeColor="text1"/>
          <w:sz w:val="21"/>
          <w:szCs w:val="21"/>
        </w:rPr>
        <w:t>2010</w:t>
      </w:r>
      <w:proofErr w:type="gramStart"/>
      <w:r w:rsidRPr="00755F49">
        <w:rPr>
          <w:color w:val="000000" w:themeColor="text1"/>
          <w:sz w:val="21"/>
          <w:szCs w:val="21"/>
        </w:rPr>
        <w:t>;44:1330</w:t>
      </w:r>
      <w:proofErr w:type="gramEnd"/>
      <w:r w:rsidRPr="00755F49">
        <w:rPr>
          <w:color w:val="000000" w:themeColor="text1"/>
          <w:sz w:val="21"/>
          <w:szCs w:val="21"/>
        </w:rPr>
        <w:t>-3.</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19.</w:t>
      </w:r>
      <w:r w:rsidRPr="00755F49">
        <w:rPr>
          <w:color w:val="000000" w:themeColor="text1"/>
          <w:sz w:val="21"/>
          <w:szCs w:val="21"/>
        </w:rPr>
        <w:tab/>
        <w:t xml:space="preserve">da </w:t>
      </w:r>
      <w:proofErr w:type="spellStart"/>
      <w:r w:rsidRPr="00755F49">
        <w:rPr>
          <w:color w:val="000000" w:themeColor="text1"/>
          <w:sz w:val="21"/>
          <w:szCs w:val="21"/>
        </w:rPr>
        <w:t>Silveira</w:t>
      </w:r>
      <w:proofErr w:type="spellEnd"/>
      <w:r w:rsidRPr="00755F49">
        <w:rPr>
          <w:color w:val="000000" w:themeColor="text1"/>
          <w:sz w:val="21"/>
          <w:szCs w:val="21"/>
        </w:rPr>
        <w:t xml:space="preserve"> CM, Salisbury DM, de </w:t>
      </w:r>
      <w:proofErr w:type="spellStart"/>
      <w:r w:rsidRPr="00755F49">
        <w:rPr>
          <w:color w:val="000000" w:themeColor="text1"/>
          <w:sz w:val="21"/>
          <w:szCs w:val="21"/>
        </w:rPr>
        <w:t>Quadros</w:t>
      </w:r>
      <w:proofErr w:type="spellEnd"/>
      <w:r w:rsidRPr="00755F49">
        <w:rPr>
          <w:color w:val="000000" w:themeColor="text1"/>
          <w:sz w:val="21"/>
          <w:szCs w:val="21"/>
        </w:rPr>
        <w:t xml:space="preserve"> CA. Measles vaccination and Guillain-Barre syndrome. </w:t>
      </w:r>
      <w:r w:rsidRPr="00755F49">
        <w:rPr>
          <w:rStyle w:val="Emphasis"/>
          <w:i w:val="0"/>
          <w:color w:val="000000" w:themeColor="text1"/>
          <w:sz w:val="21"/>
          <w:szCs w:val="21"/>
        </w:rPr>
        <w:t xml:space="preserve">Lancet </w:t>
      </w:r>
      <w:r w:rsidRPr="00755F49">
        <w:rPr>
          <w:color w:val="000000" w:themeColor="text1"/>
          <w:sz w:val="21"/>
          <w:szCs w:val="21"/>
        </w:rPr>
        <w:t>1997</w:t>
      </w:r>
      <w:proofErr w:type="gramStart"/>
      <w:r w:rsidRPr="00755F49">
        <w:rPr>
          <w:color w:val="000000" w:themeColor="text1"/>
          <w:sz w:val="21"/>
          <w:szCs w:val="21"/>
        </w:rPr>
        <w:t>;349:14</w:t>
      </w:r>
      <w:proofErr w:type="gramEnd"/>
      <w:r w:rsidRPr="00755F49">
        <w:rPr>
          <w:color w:val="000000" w:themeColor="text1"/>
          <w:sz w:val="21"/>
          <w:szCs w:val="21"/>
        </w:rPr>
        <w:t>-6.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20.</w:t>
      </w:r>
      <w:r w:rsidRPr="00755F49">
        <w:rPr>
          <w:color w:val="000000" w:themeColor="text1"/>
          <w:sz w:val="21"/>
          <w:szCs w:val="21"/>
        </w:rPr>
        <w:tab/>
        <w:t xml:space="preserve">Slade BA, </w:t>
      </w:r>
      <w:proofErr w:type="spellStart"/>
      <w:r w:rsidRPr="00755F49">
        <w:rPr>
          <w:color w:val="000000" w:themeColor="text1"/>
          <w:sz w:val="21"/>
          <w:szCs w:val="21"/>
        </w:rPr>
        <w:t>Leidel</w:t>
      </w:r>
      <w:proofErr w:type="spellEnd"/>
      <w:r w:rsidRPr="00755F49">
        <w:rPr>
          <w:color w:val="000000" w:themeColor="text1"/>
          <w:sz w:val="21"/>
          <w:szCs w:val="21"/>
        </w:rPr>
        <w:t xml:space="preserve"> L, </w:t>
      </w:r>
      <w:proofErr w:type="spellStart"/>
      <w:r w:rsidRPr="00755F49">
        <w:rPr>
          <w:color w:val="000000" w:themeColor="text1"/>
          <w:sz w:val="21"/>
          <w:szCs w:val="21"/>
        </w:rPr>
        <w:t>Vellozzi</w:t>
      </w:r>
      <w:proofErr w:type="spellEnd"/>
      <w:r w:rsidRPr="00755F49">
        <w:rPr>
          <w:color w:val="000000" w:themeColor="text1"/>
          <w:sz w:val="21"/>
          <w:szCs w:val="21"/>
        </w:rPr>
        <w:t xml:space="preserve"> C, Woo EJ, </w:t>
      </w:r>
      <w:proofErr w:type="spellStart"/>
      <w:r w:rsidRPr="00755F49">
        <w:rPr>
          <w:color w:val="000000" w:themeColor="text1"/>
          <w:sz w:val="21"/>
          <w:szCs w:val="21"/>
        </w:rPr>
        <w:t>Hua</w:t>
      </w:r>
      <w:proofErr w:type="spellEnd"/>
      <w:r w:rsidRPr="00755F49">
        <w:rPr>
          <w:color w:val="000000" w:themeColor="text1"/>
          <w:sz w:val="21"/>
          <w:szCs w:val="21"/>
        </w:rPr>
        <w:t xml:space="preserve"> W, Sutherland A, et al. </w:t>
      </w:r>
      <w:proofErr w:type="spellStart"/>
      <w:r w:rsidRPr="00755F49">
        <w:rPr>
          <w:color w:val="000000" w:themeColor="text1"/>
          <w:sz w:val="21"/>
          <w:szCs w:val="21"/>
        </w:rPr>
        <w:t>Postlicensure</w:t>
      </w:r>
      <w:proofErr w:type="spellEnd"/>
      <w:r w:rsidRPr="00755F49">
        <w:rPr>
          <w:color w:val="000000" w:themeColor="text1"/>
          <w:sz w:val="21"/>
          <w:szCs w:val="21"/>
        </w:rPr>
        <w:t xml:space="preserve"> safety surveillance for </w:t>
      </w:r>
      <w:proofErr w:type="spellStart"/>
      <w:r w:rsidRPr="00755F49">
        <w:rPr>
          <w:color w:val="000000" w:themeColor="text1"/>
          <w:sz w:val="21"/>
          <w:szCs w:val="21"/>
        </w:rPr>
        <w:t>quadrivalent</w:t>
      </w:r>
      <w:proofErr w:type="spellEnd"/>
      <w:r w:rsidRPr="00755F49">
        <w:rPr>
          <w:color w:val="000000" w:themeColor="text1"/>
          <w:sz w:val="21"/>
          <w:szCs w:val="21"/>
        </w:rPr>
        <w:t xml:space="preserve"> human papillomavirus recombinant vaccine. </w:t>
      </w:r>
      <w:r w:rsidRPr="00755F49">
        <w:rPr>
          <w:rStyle w:val="Emphasis"/>
          <w:i w:val="0"/>
          <w:color w:val="000000" w:themeColor="text1"/>
          <w:sz w:val="21"/>
          <w:szCs w:val="21"/>
        </w:rPr>
        <w:t xml:space="preserve">JAMA </w:t>
      </w:r>
      <w:r w:rsidRPr="00755F49">
        <w:rPr>
          <w:color w:val="000000" w:themeColor="text1"/>
          <w:sz w:val="21"/>
          <w:szCs w:val="21"/>
        </w:rPr>
        <w:t>2009</w:t>
      </w:r>
      <w:proofErr w:type="gramStart"/>
      <w:r w:rsidRPr="00755F49">
        <w:rPr>
          <w:color w:val="000000" w:themeColor="text1"/>
          <w:sz w:val="21"/>
          <w:szCs w:val="21"/>
        </w:rPr>
        <w:t>;302:750</w:t>
      </w:r>
      <w:proofErr w:type="gramEnd"/>
      <w:r w:rsidRPr="00755F49">
        <w:rPr>
          <w:color w:val="000000" w:themeColor="text1"/>
          <w:sz w:val="21"/>
          <w:szCs w:val="21"/>
        </w:rPr>
        <w:t>-7.</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21.</w:t>
      </w:r>
      <w:r w:rsidRPr="00755F49">
        <w:rPr>
          <w:color w:val="000000" w:themeColor="text1"/>
          <w:sz w:val="21"/>
          <w:szCs w:val="21"/>
        </w:rPr>
        <w:tab/>
        <w:t xml:space="preserve">Smith MJ. </w:t>
      </w:r>
      <w:proofErr w:type="gramStart"/>
      <w:r w:rsidRPr="00755F49">
        <w:rPr>
          <w:color w:val="000000" w:themeColor="text1"/>
          <w:sz w:val="21"/>
          <w:szCs w:val="21"/>
        </w:rPr>
        <w:t>Meningococcal tetravalent conjugate vaccine.</w:t>
      </w:r>
      <w:proofErr w:type="gramEnd"/>
      <w:r w:rsidRPr="00755F49">
        <w:rPr>
          <w:color w:val="000000" w:themeColor="text1"/>
          <w:sz w:val="21"/>
          <w:szCs w:val="21"/>
        </w:rPr>
        <w:t xml:space="preserve"> </w:t>
      </w:r>
      <w:r w:rsidRPr="00755F49">
        <w:rPr>
          <w:rStyle w:val="Emphasis"/>
          <w:i w:val="0"/>
          <w:color w:val="000000" w:themeColor="text1"/>
          <w:sz w:val="21"/>
          <w:szCs w:val="21"/>
        </w:rPr>
        <w:t xml:space="preserve">Expert </w:t>
      </w:r>
      <w:proofErr w:type="spellStart"/>
      <w:r w:rsidRPr="00755F49">
        <w:rPr>
          <w:rStyle w:val="Emphasis"/>
          <w:i w:val="0"/>
          <w:color w:val="000000" w:themeColor="text1"/>
          <w:sz w:val="21"/>
          <w:szCs w:val="21"/>
        </w:rPr>
        <w:t>Opin</w:t>
      </w:r>
      <w:proofErr w:type="spellEnd"/>
      <w:r w:rsidRPr="00755F49">
        <w:rPr>
          <w:rStyle w:val="Emphasis"/>
          <w:i w:val="0"/>
          <w:color w:val="000000" w:themeColor="text1"/>
          <w:sz w:val="21"/>
          <w:szCs w:val="21"/>
        </w:rPr>
        <w:t xml:space="preserve"> </w:t>
      </w:r>
      <w:proofErr w:type="spellStart"/>
      <w:r w:rsidRPr="00755F49">
        <w:rPr>
          <w:rStyle w:val="Emphasis"/>
          <w:i w:val="0"/>
          <w:color w:val="000000" w:themeColor="text1"/>
          <w:sz w:val="21"/>
          <w:szCs w:val="21"/>
        </w:rPr>
        <w:t>Biol</w:t>
      </w:r>
      <w:proofErr w:type="spellEnd"/>
      <w:r w:rsidRPr="00755F49">
        <w:rPr>
          <w:rStyle w:val="Emphasis"/>
          <w:i w:val="0"/>
          <w:color w:val="000000" w:themeColor="text1"/>
          <w:sz w:val="21"/>
          <w:szCs w:val="21"/>
        </w:rPr>
        <w:t xml:space="preserve"> </w:t>
      </w:r>
      <w:proofErr w:type="spellStart"/>
      <w:r w:rsidRPr="00755F49">
        <w:rPr>
          <w:rStyle w:val="Emphasis"/>
          <w:i w:val="0"/>
          <w:color w:val="000000" w:themeColor="text1"/>
          <w:sz w:val="21"/>
          <w:szCs w:val="21"/>
        </w:rPr>
        <w:t>Ther</w:t>
      </w:r>
      <w:proofErr w:type="spellEnd"/>
      <w:r w:rsidRPr="00755F49">
        <w:rPr>
          <w:rStyle w:val="Emphasis"/>
          <w:i w:val="0"/>
          <w:color w:val="000000" w:themeColor="text1"/>
          <w:sz w:val="21"/>
          <w:szCs w:val="21"/>
        </w:rPr>
        <w:t xml:space="preserve"> </w:t>
      </w:r>
      <w:r w:rsidRPr="00755F49">
        <w:rPr>
          <w:color w:val="000000" w:themeColor="text1"/>
          <w:sz w:val="21"/>
          <w:szCs w:val="21"/>
        </w:rPr>
        <w:t>2008</w:t>
      </w:r>
      <w:proofErr w:type="gramStart"/>
      <w:r w:rsidRPr="00755F49">
        <w:rPr>
          <w:color w:val="000000" w:themeColor="text1"/>
          <w:sz w:val="21"/>
          <w:szCs w:val="21"/>
        </w:rPr>
        <w:t>;8:1941</w:t>
      </w:r>
      <w:proofErr w:type="gramEnd"/>
      <w:r w:rsidRPr="00755F49">
        <w:rPr>
          <w:color w:val="000000" w:themeColor="text1"/>
          <w:sz w:val="21"/>
          <w:szCs w:val="21"/>
        </w:rPr>
        <w:t>-6.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22.</w:t>
      </w:r>
      <w:r w:rsidRPr="00755F49">
        <w:rPr>
          <w:color w:val="000000" w:themeColor="text1"/>
          <w:sz w:val="21"/>
          <w:szCs w:val="21"/>
        </w:rPr>
        <w:tab/>
      </w:r>
      <w:proofErr w:type="spellStart"/>
      <w:r w:rsidRPr="00755F49">
        <w:rPr>
          <w:color w:val="000000" w:themeColor="text1"/>
          <w:sz w:val="21"/>
          <w:szCs w:val="21"/>
        </w:rPr>
        <w:t>Landaverde</w:t>
      </w:r>
      <w:proofErr w:type="spellEnd"/>
      <w:r w:rsidRPr="00755F49">
        <w:rPr>
          <w:color w:val="000000" w:themeColor="text1"/>
          <w:sz w:val="21"/>
          <w:szCs w:val="21"/>
        </w:rPr>
        <w:t xml:space="preserve"> JM, </w:t>
      </w:r>
      <w:proofErr w:type="spellStart"/>
      <w:r w:rsidRPr="00755F49">
        <w:rPr>
          <w:color w:val="000000" w:themeColor="text1"/>
          <w:sz w:val="21"/>
          <w:szCs w:val="21"/>
        </w:rPr>
        <w:t>Danovaro</w:t>
      </w:r>
      <w:proofErr w:type="spellEnd"/>
      <w:r w:rsidRPr="00755F49">
        <w:rPr>
          <w:color w:val="000000" w:themeColor="text1"/>
          <w:sz w:val="21"/>
          <w:szCs w:val="21"/>
        </w:rPr>
        <w:t xml:space="preserve">-Holliday MC, Trumbo SP, </w:t>
      </w:r>
      <w:proofErr w:type="spellStart"/>
      <w:r w:rsidRPr="00755F49">
        <w:rPr>
          <w:color w:val="000000" w:themeColor="text1"/>
          <w:sz w:val="21"/>
          <w:szCs w:val="21"/>
        </w:rPr>
        <w:t>Pacis-Tirso</w:t>
      </w:r>
      <w:proofErr w:type="spellEnd"/>
      <w:r w:rsidRPr="00755F49">
        <w:rPr>
          <w:color w:val="000000" w:themeColor="text1"/>
          <w:sz w:val="21"/>
          <w:szCs w:val="21"/>
        </w:rPr>
        <w:t xml:space="preserve"> CL, Ruiz-</w:t>
      </w:r>
      <w:proofErr w:type="spellStart"/>
      <w:r w:rsidRPr="00755F49">
        <w:rPr>
          <w:color w:val="000000" w:themeColor="text1"/>
          <w:sz w:val="21"/>
          <w:szCs w:val="21"/>
        </w:rPr>
        <w:t>Matus</w:t>
      </w:r>
      <w:proofErr w:type="spellEnd"/>
      <w:r w:rsidRPr="00755F49">
        <w:rPr>
          <w:color w:val="000000" w:themeColor="text1"/>
          <w:sz w:val="21"/>
          <w:szCs w:val="21"/>
        </w:rPr>
        <w:t xml:space="preserve"> C. Guillain-Barre syndrome in children aged &lt; 15 years in Latin America and the Caribbean: baseline rates in the context of the influenza A (H1N1) pandemic. </w:t>
      </w:r>
      <w:r w:rsidRPr="00755F49">
        <w:rPr>
          <w:rStyle w:val="Emphasis"/>
          <w:i w:val="0"/>
          <w:color w:val="000000" w:themeColor="text1"/>
          <w:sz w:val="21"/>
          <w:szCs w:val="21"/>
        </w:rPr>
        <w:t xml:space="preserve">J Infect Dis </w:t>
      </w:r>
      <w:r w:rsidRPr="00755F49">
        <w:rPr>
          <w:color w:val="000000" w:themeColor="text1"/>
          <w:sz w:val="21"/>
          <w:szCs w:val="21"/>
        </w:rPr>
        <w:t>2010</w:t>
      </w:r>
      <w:proofErr w:type="gramStart"/>
      <w:r w:rsidRPr="00755F49">
        <w:rPr>
          <w:color w:val="000000" w:themeColor="text1"/>
          <w:sz w:val="21"/>
          <w:szCs w:val="21"/>
        </w:rPr>
        <w:t>;201:746</w:t>
      </w:r>
      <w:proofErr w:type="gramEnd"/>
      <w:r w:rsidRPr="00755F49">
        <w:rPr>
          <w:color w:val="000000" w:themeColor="text1"/>
          <w:sz w:val="21"/>
          <w:szCs w:val="21"/>
        </w:rPr>
        <w:t>-50.</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23.</w:t>
      </w:r>
      <w:r w:rsidRPr="00755F49">
        <w:rPr>
          <w:color w:val="000000" w:themeColor="text1"/>
          <w:sz w:val="21"/>
          <w:szCs w:val="21"/>
        </w:rPr>
        <w:tab/>
        <w:t xml:space="preserve">Griffin JW, Li CY, Ho TW, </w:t>
      </w:r>
      <w:proofErr w:type="spellStart"/>
      <w:r w:rsidRPr="00755F49">
        <w:rPr>
          <w:color w:val="000000" w:themeColor="text1"/>
          <w:sz w:val="21"/>
          <w:szCs w:val="21"/>
        </w:rPr>
        <w:t>Tian</w:t>
      </w:r>
      <w:proofErr w:type="spellEnd"/>
      <w:r w:rsidRPr="00755F49">
        <w:rPr>
          <w:color w:val="000000" w:themeColor="text1"/>
          <w:sz w:val="21"/>
          <w:szCs w:val="21"/>
        </w:rPr>
        <w:t xml:space="preserve"> M, </w:t>
      </w:r>
      <w:proofErr w:type="spellStart"/>
      <w:r w:rsidRPr="00755F49">
        <w:rPr>
          <w:color w:val="000000" w:themeColor="text1"/>
          <w:sz w:val="21"/>
          <w:szCs w:val="21"/>
        </w:rPr>
        <w:t>Gao</w:t>
      </w:r>
      <w:proofErr w:type="spellEnd"/>
      <w:r w:rsidRPr="00755F49">
        <w:rPr>
          <w:color w:val="000000" w:themeColor="text1"/>
          <w:sz w:val="21"/>
          <w:szCs w:val="21"/>
        </w:rPr>
        <w:t xml:space="preserve"> CY, </w:t>
      </w:r>
      <w:proofErr w:type="spellStart"/>
      <w:r w:rsidRPr="00755F49">
        <w:rPr>
          <w:color w:val="000000" w:themeColor="text1"/>
          <w:sz w:val="21"/>
          <w:szCs w:val="21"/>
        </w:rPr>
        <w:t>Xue</w:t>
      </w:r>
      <w:proofErr w:type="spellEnd"/>
      <w:r w:rsidRPr="00755F49">
        <w:rPr>
          <w:color w:val="000000" w:themeColor="text1"/>
          <w:sz w:val="21"/>
          <w:szCs w:val="21"/>
        </w:rPr>
        <w:t xml:space="preserve"> P, et al. Pathology of the motor-sensory axonal Guillain-Barre syndrome. </w:t>
      </w:r>
      <w:r w:rsidRPr="00755F49">
        <w:rPr>
          <w:rStyle w:val="Emphasis"/>
          <w:i w:val="0"/>
          <w:color w:val="000000" w:themeColor="text1"/>
          <w:sz w:val="21"/>
          <w:szCs w:val="21"/>
        </w:rPr>
        <w:t xml:space="preserve">Ann </w:t>
      </w:r>
      <w:proofErr w:type="spellStart"/>
      <w:r w:rsidRPr="00755F49">
        <w:rPr>
          <w:rStyle w:val="Emphasis"/>
          <w:i w:val="0"/>
          <w:color w:val="000000" w:themeColor="text1"/>
          <w:sz w:val="21"/>
          <w:szCs w:val="21"/>
        </w:rPr>
        <w:t>Neurol</w:t>
      </w:r>
      <w:proofErr w:type="spellEnd"/>
      <w:r w:rsidRPr="00755F49">
        <w:rPr>
          <w:rStyle w:val="Emphasis"/>
          <w:i w:val="0"/>
          <w:color w:val="000000" w:themeColor="text1"/>
          <w:sz w:val="21"/>
          <w:szCs w:val="21"/>
        </w:rPr>
        <w:t xml:space="preserve"> </w:t>
      </w:r>
      <w:r w:rsidRPr="00755F49">
        <w:rPr>
          <w:color w:val="000000" w:themeColor="text1"/>
          <w:sz w:val="21"/>
          <w:szCs w:val="21"/>
        </w:rPr>
        <w:t>1996</w:t>
      </w:r>
      <w:proofErr w:type="gramStart"/>
      <w:r w:rsidRPr="00755F49">
        <w:rPr>
          <w:color w:val="000000" w:themeColor="text1"/>
          <w:sz w:val="21"/>
          <w:szCs w:val="21"/>
        </w:rPr>
        <w:t>;39:17</w:t>
      </w:r>
      <w:proofErr w:type="gramEnd"/>
      <w:r w:rsidRPr="00755F49">
        <w:rPr>
          <w:color w:val="000000" w:themeColor="text1"/>
          <w:sz w:val="21"/>
          <w:szCs w:val="21"/>
        </w:rPr>
        <w:t>-28.</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24.</w:t>
      </w:r>
      <w:r w:rsidRPr="00755F49">
        <w:rPr>
          <w:color w:val="000000" w:themeColor="text1"/>
          <w:sz w:val="21"/>
          <w:szCs w:val="21"/>
        </w:rPr>
        <w:tab/>
        <w:t xml:space="preserve">Griffin JW, Li CY, Ho TW, </w:t>
      </w:r>
      <w:proofErr w:type="spellStart"/>
      <w:r w:rsidRPr="00755F49">
        <w:rPr>
          <w:color w:val="000000" w:themeColor="text1"/>
          <w:sz w:val="21"/>
          <w:szCs w:val="21"/>
        </w:rPr>
        <w:t>Xue</w:t>
      </w:r>
      <w:proofErr w:type="spellEnd"/>
      <w:r w:rsidRPr="00755F49">
        <w:rPr>
          <w:color w:val="000000" w:themeColor="text1"/>
          <w:sz w:val="21"/>
          <w:szCs w:val="21"/>
        </w:rPr>
        <w:t xml:space="preserve"> P, </w:t>
      </w:r>
      <w:proofErr w:type="spellStart"/>
      <w:r w:rsidRPr="00755F49">
        <w:rPr>
          <w:color w:val="000000" w:themeColor="text1"/>
          <w:sz w:val="21"/>
          <w:szCs w:val="21"/>
        </w:rPr>
        <w:t>Macko</w:t>
      </w:r>
      <w:proofErr w:type="spellEnd"/>
      <w:r w:rsidRPr="00755F49">
        <w:rPr>
          <w:color w:val="000000" w:themeColor="text1"/>
          <w:sz w:val="21"/>
          <w:szCs w:val="21"/>
        </w:rPr>
        <w:t xml:space="preserve"> C, </w:t>
      </w:r>
      <w:proofErr w:type="spellStart"/>
      <w:r w:rsidRPr="00755F49">
        <w:rPr>
          <w:color w:val="000000" w:themeColor="text1"/>
          <w:sz w:val="21"/>
          <w:szCs w:val="21"/>
        </w:rPr>
        <w:t>Gao</w:t>
      </w:r>
      <w:proofErr w:type="spellEnd"/>
      <w:r w:rsidRPr="00755F49">
        <w:rPr>
          <w:color w:val="000000" w:themeColor="text1"/>
          <w:sz w:val="21"/>
          <w:szCs w:val="21"/>
        </w:rPr>
        <w:t xml:space="preserve"> CY, et al. Guillain-Barre syndrome in northern China. </w:t>
      </w:r>
      <w:proofErr w:type="gramStart"/>
      <w:r w:rsidRPr="00755F49">
        <w:rPr>
          <w:color w:val="000000" w:themeColor="text1"/>
          <w:sz w:val="21"/>
          <w:szCs w:val="21"/>
        </w:rPr>
        <w:t xml:space="preserve">The spectrum of </w:t>
      </w:r>
      <w:proofErr w:type="spellStart"/>
      <w:r w:rsidRPr="00755F49">
        <w:rPr>
          <w:color w:val="000000" w:themeColor="text1"/>
          <w:sz w:val="21"/>
          <w:szCs w:val="21"/>
        </w:rPr>
        <w:t>neuropathological</w:t>
      </w:r>
      <w:proofErr w:type="spellEnd"/>
      <w:r w:rsidRPr="00755F49">
        <w:rPr>
          <w:color w:val="000000" w:themeColor="text1"/>
          <w:sz w:val="21"/>
          <w:szCs w:val="21"/>
        </w:rPr>
        <w:t xml:space="preserve"> changes in clinically defined cases.</w:t>
      </w:r>
      <w:proofErr w:type="gramEnd"/>
      <w:r w:rsidRPr="00755F49">
        <w:rPr>
          <w:color w:val="000000" w:themeColor="text1"/>
          <w:sz w:val="21"/>
          <w:szCs w:val="21"/>
        </w:rPr>
        <w:t xml:space="preserve"> </w:t>
      </w:r>
      <w:r w:rsidRPr="00755F49">
        <w:rPr>
          <w:rStyle w:val="Emphasis"/>
          <w:i w:val="0"/>
          <w:color w:val="000000" w:themeColor="text1"/>
          <w:sz w:val="21"/>
          <w:szCs w:val="21"/>
        </w:rPr>
        <w:t xml:space="preserve">Brain </w:t>
      </w:r>
      <w:r w:rsidRPr="00755F49">
        <w:rPr>
          <w:color w:val="000000" w:themeColor="text1"/>
          <w:sz w:val="21"/>
          <w:szCs w:val="21"/>
        </w:rPr>
        <w:t>1995</w:t>
      </w:r>
      <w:proofErr w:type="gramStart"/>
      <w:r w:rsidRPr="00755F49">
        <w:rPr>
          <w:color w:val="000000" w:themeColor="text1"/>
          <w:sz w:val="21"/>
          <w:szCs w:val="21"/>
        </w:rPr>
        <w:t>;118:577</w:t>
      </w:r>
      <w:proofErr w:type="gramEnd"/>
      <w:r w:rsidRPr="00755F49">
        <w:rPr>
          <w:color w:val="000000" w:themeColor="text1"/>
          <w:sz w:val="21"/>
          <w:szCs w:val="21"/>
        </w:rPr>
        <w:t>-95.</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lastRenderedPageBreak/>
        <w:t>25.</w:t>
      </w:r>
      <w:r w:rsidRPr="00755F49">
        <w:rPr>
          <w:color w:val="000000" w:themeColor="text1"/>
          <w:sz w:val="21"/>
          <w:szCs w:val="21"/>
        </w:rPr>
        <w:tab/>
      </w:r>
      <w:proofErr w:type="spellStart"/>
      <w:r w:rsidRPr="00755F49">
        <w:rPr>
          <w:color w:val="000000" w:themeColor="text1"/>
          <w:sz w:val="21"/>
          <w:szCs w:val="21"/>
        </w:rPr>
        <w:t>Nachamkin</w:t>
      </w:r>
      <w:proofErr w:type="spellEnd"/>
      <w:r w:rsidRPr="00755F49">
        <w:rPr>
          <w:color w:val="000000" w:themeColor="text1"/>
          <w:sz w:val="21"/>
          <w:szCs w:val="21"/>
        </w:rPr>
        <w:t xml:space="preserve"> I, </w:t>
      </w:r>
      <w:proofErr w:type="spellStart"/>
      <w:r w:rsidRPr="00755F49">
        <w:rPr>
          <w:color w:val="000000" w:themeColor="text1"/>
          <w:sz w:val="21"/>
          <w:szCs w:val="21"/>
        </w:rPr>
        <w:t>Arzarte</w:t>
      </w:r>
      <w:proofErr w:type="spellEnd"/>
      <w:r w:rsidRPr="00755F49">
        <w:rPr>
          <w:color w:val="000000" w:themeColor="text1"/>
          <w:sz w:val="21"/>
          <w:szCs w:val="21"/>
        </w:rPr>
        <w:t xml:space="preserve">-Barbosa P, </w:t>
      </w:r>
      <w:proofErr w:type="spellStart"/>
      <w:r w:rsidRPr="00755F49">
        <w:rPr>
          <w:color w:val="000000" w:themeColor="text1"/>
          <w:sz w:val="21"/>
          <w:szCs w:val="21"/>
        </w:rPr>
        <w:t>Ung</w:t>
      </w:r>
      <w:proofErr w:type="spellEnd"/>
      <w:r w:rsidRPr="00755F49">
        <w:rPr>
          <w:color w:val="000000" w:themeColor="text1"/>
          <w:sz w:val="21"/>
          <w:szCs w:val="21"/>
        </w:rPr>
        <w:t xml:space="preserve"> H, </w:t>
      </w:r>
      <w:proofErr w:type="spellStart"/>
      <w:r w:rsidRPr="00755F49">
        <w:rPr>
          <w:color w:val="000000" w:themeColor="text1"/>
          <w:sz w:val="21"/>
          <w:szCs w:val="21"/>
        </w:rPr>
        <w:t>Lobato</w:t>
      </w:r>
      <w:proofErr w:type="spellEnd"/>
      <w:r w:rsidRPr="00755F49">
        <w:rPr>
          <w:color w:val="000000" w:themeColor="text1"/>
          <w:sz w:val="21"/>
          <w:szCs w:val="21"/>
        </w:rPr>
        <w:t xml:space="preserve"> C, Gonzalez Rivera A, Rodriguez P, et al. Patterns of Guillain-Barre syndrome in children: results from a Mexican population. </w:t>
      </w:r>
      <w:r w:rsidRPr="00755F49">
        <w:rPr>
          <w:rStyle w:val="Emphasis"/>
          <w:i w:val="0"/>
          <w:color w:val="000000" w:themeColor="text1"/>
          <w:sz w:val="21"/>
          <w:szCs w:val="21"/>
        </w:rPr>
        <w:t xml:space="preserve">Neurology </w:t>
      </w:r>
      <w:r w:rsidRPr="00755F49">
        <w:rPr>
          <w:color w:val="000000" w:themeColor="text1"/>
          <w:sz w:val="21"/>
          <w:szCs w:val="21"/>
        </w:rPr>
        <w:t>2007</w:t>
      </w:r>
      <w:proofErr w:type="gramStart"/>
      <w:r w:rsidRPr="00755F49">
        <w:rPr>
          <w:color w:val="000000" w:themeColor="text1"/>
          <w:sz w:val="21"/>
          <w:szCs w:val="21"/>
        </w:rPr>
        <w:t>;69:1665</w:t>
      </w:r>
      <w:proofErr w:type="gramEnd"/>
      <w:r w:rsidRPr="00755F49">
        <w:rPr>
          <w:color w:val="000000" w:themeColor="text1"/>
          <w:sz w:val="21"/>
          <w:szCs w:val="21"/>
        </w:rPr>
        <w:t>-71.</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26.</w:t>
      </w:r>
      <w:r w:rsidRPr="00755F49">
        <w:rPr>
          <w:color w:val="000000" w:themeColor="text1"/>
          <w:sz w:val="21"/>
          <w:szCs w:val="21"/>
        </w:rPr>
        <w:tab/>
      </w:r>
      <w:proofErr w:type="spellStart"/>
      <w:r w:rsidRPr="00755F49">
        <w:rPr>
          <w:color w:val="000000" w:themeColor="text1"/>
          <w:sz w:val="21"/>
          <w:szCs w:val="21"/>
        </w:rPr>
        <w:t>Kalra</w:t>
      </w:r>
      <w:proofErr w:type="spellEnd"/>
      <w:r w:rsidRPr="00755F49">
        <w:rPr>
          <w:color w:val="000000" w:themeColor="text1"/>
          <w:sz w:val="21"/>
          <w:szCs w:val="21"/>
        </w:rPr>
        <w:t xml:space="preserve"> V, </w:t>
      </w:r>
      <w:proofErr w:type="spellStart"/>
      <w:r w:rsidRPr="00755F49">
        <w:rPr>
          <w:color w:val="000000" w:themeColor="text1"/>
          <w:sz w:val="21"/>
          <w:szCs w:val="21"/>
        </w:rPr>
        <w:t>Chaudhry</w:t>
      </w:r>
      <w:proofErr w:type="spellEnd"/>
      <w:r w:rsidRPr="00755F49">
        <w:rPr>
          <w:color w:val="000000" w:themeColor="text1"/>
          <w:sz w:val="21"/>
          <w:szCs w:val="21"/>
        </w:rPr>
        <w:t xml:space="preserve"> R, </w:t>
      </w:r>
      <w:proofErr w:type="spellStart"/>
      <w:r w:rsidRPr="00755F49">
        <w:rPr>
          <w:color w:val="000000" w:themeColor="text1"/>
          <w:sz w:val="21"/>
          <w:szCs w:val="21"/>
        </w:rPr>
        <w:t>Dua</w:t>
      </w:r>
      <w:proofErr w:type="spellEnd"/>
      <w:r w:rsidRPr="00755F49">
        <w:rPr>
          <w:color w:val="000000" w:themeColor="text1"/>
          <w:sz w:val="21"/>
          <w:szCs w:val="21"/>
        </w:rPr>
        <w:t xml:space="preserve"> T, </w:t>
      </w:r>
      <w:proofErr w:type="spellStart"/>
      <w:r w:rsidRPr="00755F49">
        <w:rPr>
          <w:color w:val="000000" w:themeColor="text1"/>
          <w:sz w:val="21"/>
          <w:szCs w:val="21"/>
        </w:rPr>
        <w:t>Dhawan</w:t>
      </w:r>
      <w:proofErr w:type="spellEnd"/>
      <w:r w:rsidRPr="00755F49">
        <w:rPr>
          <w:color w:val="000000" w:themeColor="text1"/>
          <w:sz w:val="21"/>
          <w:szCs w:val="21"/>
        </w:rPr>
        <w:t xml:space="preserve"> B, </w:t>
      </w:r>
      <w:proofErr w:type="spellStart"/>
      <w:r w:rsidRPr="00755F49">
        <w:rPr>
          <w:color w:val="000000" w:themeColor="text1"/>
          <w:sz w:val="21"/>
          <w:szCs w:val="21"/>
        </w:rPr>
        <w:t>Sahu</w:t>
      </w:r>
      <w:proofErr w:type="spellEnd"/>
      <w:r w:rsidRPr="00755F49">
        <w:rPr>
          <w:color w:val="000000" w:themeColor="text1"/>
          <w:sz w:val="21"/>
          <w:szCs w:val="21"/>
        </w:rPr>
        <w:t xml:space="preserve"> JK, </w:t>
      </w:r>
      <w:proofErr w:type="spellStart"/>
      <w:r w:rsidRPr="00755F49">
        <w:rPr>
          <w:color w:val="000000" w:themeColor="text1"/>
          <w:sz w:val="21"/>
          <w:szCs w:val="21"/>
        </w:rPr>
        <w:t>Mridula</w:t>
      </w:r>
      <w:proofErr w:type="spellEnd"/>
      <w:r w:rsidRPr="00755F49">
        <w:rPr>
          <w:color w:val="000000" w:themeColor="text1"/>
          <w:sz w:val="21"/>
          <w:szCs w:val="21"/>
        </w:rPr>
        <w:t xml:space="preserve"> B. Association of Campylobacter </w:t>
      </w:r>
      <w:proofErr w:type="spellStart"/>
      <w:r w:rsidRPr="00755F49">
        <w:rPr>
          <w:color w:val="000000" w:themeColor="text1"/>
          <w:sz w:val="21"/>
          <w:szCs w:val="21"/>
        </w:rPr>
        <w:t>jejuni</w:t>
      </w:r>
      <w:proofErr w:type="spellEnd"/>
      <w:r w:rsidRPr="00755F49">
        <w:rPr>
          <w:color w:val="000000" w:themeColor="text1"/>
          <w:sz w:val="21"/>
          <w:szCs w:val="21"/>
        </w:rPr>
        <w:t xml:space="preserve"> infection with childhood </w:t>
      </w:r>
      <w:proofErr w:type="spellStart"/>
      <w:r w:rsidRPr="00755F49">
        <w:rPr>
          <w:color w:val="000000" w:themeColor="text1"/>
          <w:sz w:val="21"/>
          <w:szCs w:val="21"/>
        </w:rPr>
        <w:t>Guillain-Barré</w:t>
      </w:r>
      <w:proofErr w:type="spellEnd"/>
      <w:r w:rsidRPr="00755F49">
        <w:rPr>
          <w:color w:val="000000" w:themeColor="text1"/>
          <w:sz w:val="21"/>
          <w:szCs w:val="21"/>
        </w:rPr>
        <w:t xml:space="preserve"> syndrome: a case-control study. </w:t>
      </w:r>
      <w:r w:rsidRPr="00755F49">
        <w:rPr>
          <w:rStyle w:val="Emphasis"/>
          <w:i w:val="0"/>
          <w:color w:val="000000" w:themeColor="text1"/>
          <w:sz w:val="21"/>
          <w:szCs w:val="21"/>
        </w:rPr>
        <w:t xml:space="preserve">J Child </w:t>
      </w:r>
      <w:proofErr w:type="spellStart"/>
      <w:r w:rsidRPr="00755F49">
        <w:rPr>
          <w:rStyle w:val="Emphasis"/>
          <w:i w:val="0"/>
          <w:color w:val="000000" w:themeColor="text1"/>
          <w:sz w:val="21"/>
          <w:szCs w:val="21"/>
        </w:rPr>
        <w:t>Neurol</w:t>
      </w:r>
      <w:proofErr w:type="spellEnd"/>
      <w:r w:rsidRPr="00755F49">
        <w:rPr>
          <w:rStyle w:val="Emphasis"/>
          <w:i w:val="0"/>
          <w:color w:val="000000" w:themeColor="text1"/>
          <w:sz w:val="21"/>
          <w:szCs w:val="21"/>
        </w:rPr>
        <w:t xml:space="preserve"> </w:t>
      </w:r>
      <w:r w:rsidRPr="00755F49">
        <w:rPr>
          <w:color w:val="000000" w:themeColor="text1"/>
          <w:sz w:val="21"/>
          <w:szCs w:val="21"/>
        </w:rPr>
        <w:t>2009</w:t>
      </w:r>
      <w:proofErr w:type="gramStart"/>
      <w:r w:rsidRPr="00755F49">
        <w:rPr>
          <w:color w:val="000000" w:themeColor="text1"/>
          <w:sz w:val="21"/>
          <w:szCs w:val="21"/>
        </w:rPr>
        <w:t>;24:664</w:t>
      </w:r>
      <w:proofErr w:type="gramEnd"/>
      <w:r w:rsidRPr="00755F49">
        <w:rPr>
          <w:color w:val="000000" w:themeColor="text1"/>
          <w:sz w:val="21"/>
          <w:szCs w:val="21"/>
        </w:rPr>
        <w:t>-8.</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27.</w:t>
      </w:r>
      <w:r w:rsidRPr="00755F49">
        <w:rPr>
          <w:color w:val="000000" w:themeColor="text1"/>
          <w:sz w:val="21"/>
          <w:szCs w:val="21"/>
        </w:rPr>
        <w:tab/>
      </w:r>
      <w:proofErr w:type="spellStart"/>
      <w:r w:rsidRPr="00755F49">
        <w:rPr>
          <w:color w:val="000000" w:themeColor="text1"/>
          <w:sz w:val="21"/>
          <w:szCs w:val="21"/>
        </w:rPr>
        <w:t>Barzegar</w:t>
      </w:r>
      <w:proofErr w:type="spellEnd"/>
      <w:r w:rsidRPr="00755F49">
        <w:rPr>
          <w:color w:val="000000" w:themeColor="text1"/>
          <w:sz w:val="21"/>
          <w:szCs w:val="21"/>
        </w:rPr>
        <w:t xml:space="preserve"> M, </w:t>
      </w:r>
      <w:proofErr w:type="spellStart"/>
      <w:r w:rsidRPr="00755F49">
        <w:rPr>
          <w:color w:val="000000" w:themeColor="text1"/>
          <w:sz w:val="21"/>
          <w:szCs w:val="21"/>
        </w:rPr>
        <w:t>Alizadeh</w:t>
      </w:r>
      <w:proofErr w:type="spellEnd"/>
      <w:r w:rsidRPr="00755F49">
        <w:rPr>
          <w:color w:val="000000" w:themeColor="text1"/>
          <w:sz w:val="21"/>
          <w:szCs w:val="21"/>
        </w:rPr>
        <w:t xml:space="preserve"> A, </w:t>
      </w:r>
      <w:proofErr w:type="spellStart"/>
      <w:r w:rsidRPr="00755F49">
        <w:rPr>
          <w:color w:val="000000" w:themeColor="text1"/>
          <w:sz w:val="21"/>
          <w:szCs w:val="21"/>
        </w:rPr>
        <w:t>Toopchizadeh</w:t>
      </w:r>
      <w:proofErr w:type="spellEnd"/>
      <w:r w:rsidRPr="00755F49">
        <w:rPr>
          <w:color w:val="000000" w:themeColor="text1"/>
          <w:sz w:val="21"/>
          <w:szCs w:val="21"/>
        </w:rPr>
        <w:t xml:space="preserve"> V, </w:t>
      </w:r>
      <w:proofErr w:type="spellStart"/>
      <w:r w:rsidRPr="00755F49">
        <w:rPr>
          <w:color w:val="000000" w:themeColor="text1"/>
          <w:sz w:val="21"/>
          <w:szCs w:val="21"/>
        </w:rPr>
        <w:t>Dastgiri</w:t>
      </w:r>
      <w:proofErr w:type="spellEnd"/>
      <w:r w:rsidRPr="00755F49">
        <w:rPr>
          <w:color w:val="000000" w:themeColor="text1"/>
          <w:sz w:val="21"/>
          <w:szCs w:val="21"/>
        </w:rPr>
        <w:t xml:space="preserve"> S, </w:t>
      </w:r>
      <w:proofErr w:type="spellStart"/>
      <w:r w:rsidRPr="00755F49">
        <w:rPr>
          <w:color w:val="000000" w:themeColor="text1"/>
          <w:sz w:val="21"/>
          <w:szCs w:val="21"/>
        </w:rPr>
        <w:t>Majidi</w:t>
      </w:r>
      <w:proofErr w:type="spellEnd"/>
      <w:r w:rsidRPr="00755F49">
        <w:rPr>
          <w:color w:val="000000" w:themeColor="text1"/>
          <w:sz w:val="21"/>
          <w:szCs w:val="21"/>
        </w:rPr>
        <w:t xml:space="preserve"> J. Association of Campylobacter </w:t>
      </w:r>
      <w:proofErr w:type="spellStart"/>
      <w:r w:rsidRPr="00755F49">
        <w:rPr>
          <w:color w:val="000000" w:themeColor="text1"/>
          <w:sz w:val="21"/>
          <w:szCs w:val="21"/>
        </w:rPr>
        <w:t>jejuni</w:t>
      </w:r>
      <w:proofErr w:type="spellEnd"/>
      <w:r w:rsidRPr="00755F49">
        <w:rPr>
          <w:color w:val="000000" w:themeColor="text1"/>
          <w:sz w:val="21"/>
          <w:szCs w:val="21"/>
        </w:rPr>
        <w:t xml:space="preserve"> infection and </w:t>
      </w:r>
      <w:proofErr w:type="spellStart"/>
      <w:r w:rsidRPr="00755F49">
        <w:rPr>
          <w:color w:val="000000" w:themeColor="text1"/>
          <w:sz w:val="21"/>
          <w:szCs w:val="21"/>
        </w:rPr>
        <w:t>GuillainBarré</w:t>
      </w:r>
      <w:proofErr w:type="spellEnd"/>
      <w:r w:rsidRPr="00755F49">
        <w:rPr>
          <w:color w:val="000000" w:themeColor="text1"/>
          <w:sz w:val="21"/>
          <w:szCs w:val="21"/>
        </w:rPr>
        <w:t xml:space="preserve"> syndrome: a cohort study in the northwest of Iran. </w:t>
      </w:r>
      <w:r w:rsidRPr="00755F49">
        <w:rPr>
          <w:rStyle w:val="Emphasis"/>
          <w:i w:val="0"/>
          <w:color w:val="000000" w:themeColor="text1"/>
          <w:sz w:val="21"/>
          <w:szCs w:val="21"/>
        </w:rPr>
        <w:t xml:space="preserve">Turk J </w:t>
      </w:r>
      <w:proofErr w:type="spellStart"/>
      <w:r w:rsidRPr="00755F49">
        <w:rPr>
          <w:rStyle w:val="Emphasis"/>
          <w:i w:val="0"/>
          <w:color w:val="000000" w:themeColor="text1"/>
          <w:sz w:val="21"/>
          <w:szCs w:val="21"/>
        </w:rPr>
        <w:t>Pediatr</w:t>
      </w:r>
      <w:proofErr w:type="spellEnd"/>
      <w:r w:rsidRPr="00755F49">
        <w:rPr>
          <w:rStyle w:val="Emphasis"/>
          <w:i w:val="0"/>
          <w:color w:val="000000" w:themeColor="text1"/>
          <w:sz w:val="21"/>
          <w:szCs w:val="21"/>
        </w:rPr>
        <w:t xml:space="preserve"> </w:t>
      </w:r>
      <w:r w:rsidRPr="00755F49">
        <w:rPr>
          <w:color w:val="000000" w:themeColor="text1"/>
          <w:sz w:val="21"/>
          <w:szCs w:val="21"/>
        </w:rPr>
        <w:t>2008</w:t>
      </w:r>
      <w:proofErr w:type="gramStart"/>
      <w:r w:rsidRPr="00755F49">
        <w:rPr>
          <w:color w:val="000000" w:themeColor="text1"/>
          <w:sz w:val="21"/>
          <w:szCs w:val="21"/>
        </w:rPr>
        <w:t>;50:443</w:t>
      </w:r>
      <w:proofErr w:type="gramEnd"/>
      <w:r w:rsidRPr="00755F49">
        <w:rPr>
          <w:color w:val="000000" w:themeColor="text1"/>
          <w:sz w:val="21"/>
          <w:szCs w:val="21"/>
        </w:rPr>
        <w:t>-8.</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28.</w:t>
      </w:r>
      <w:r w:rsidRPr="00755F49">
        <w:rPr>
          <w:color w:val="000000" w:themeColor="text1"/>
          <w:sz w:val="21"/>
          <w:szCs w:val="21"/>
        </w:rPr>
        <w:tab/>
        <w:t xml:space="preserve">Islam Z, Jacobs BC, Islam MB, Mohammad QD, </w:t>
      </w:r>
      <w:proofErr w:type="spellStart"/>
      <w:r w:rsidRPr="00755F49">
        <w:rPr>
          <w:color w:val="000000" w:themeColor="text1"/>
          <w:sz w:val="21"/>
          <w:szCs w:val="21"/>
        </w:rPr>
        <w:t>Diorditsa</w:t>
      </w:r>
      <w:proofErr w:type="spellEnd"/>
      <w:r w:rsidRPr="00755F49">
        <w:rPr>
          <w:color w:val="000000" w:themeColor="text1"/>
          <w:sz w:val="21"/>
          <w:szCs w:val="21"/>
        </w:rPr>
        <w:t xml:space="preserve"> S, </w:t>
      </w:r>
      <w:proofErr w:type="spellStart"/>
      <w:r w:rsidRPr="00755F49">
        <w:rPr>
          <w:color w:val="000000" w:themeColor="text1"/>
          <w:sz w:val="21"/>
          <w:szCs w:val="21"/>
        </w:rPr>
        <w:t>Endtz</w:t>
      </w:r>
      <w:proofErr w:type="spellEnd"/>
      <w:r w:rsidRPr="00755F49">
        <w:rPr>
          <w:color w:val="000000" w:themeColor="text1"/>
          <w:sz w:val="21"/>
          <w:szCs w:val="21"/>
        </w:rPr>
        <w:t xml:space="preserve"> HP. High incidence of Guillain-Barre syndrome in children, Bangladesh. </w:t>
      </w:r>
      <w:proofErr w:type="spellStart"/>
      <w:r w:rsidRPr="00755F49">
        <w:rPr>
          <w:rStyle w:val="Emphasis"/>
          <w:i w:val="0"/>
          <w:color w:val="000000" w:themeColor="text1"/>
          <w:sz w:val="21"/>
          <w:szCs w:val="21"/>
        </w:rPr>
        <w:t>Emerg</w:t>
      </w:r>
      <w:proofErr w:type="spellEnd"/>
      <w:r w:rsidRPr="00755F49">
        <w:rPr>
          <w:rStyle w:val="Emphasis"/>
          <w:i w:val="0"/>
          <w:color w:val="000000" w:themeColor="text1"/>
          <w:sz w:val="21"/>
          <w:szCs w:val="21"/>
        </w:rPr>
        <w:t xml:space="preserve"> Infect Dis </w:t>
      </w:r>
      <w:r w:rsidRPr="00755F49">
        <w:rPr>
          <w:color w:val="000000" w:themeColor="text1"/>
          <w:sz w:val="21"/>
          <w:szCs w:val="21"/>
        </w:rPr>
        <w:t>2011</w:t>
      </w:r>
      <w:proofErr w:type="gramStart"/>
      <w:r w:rsidRPr="00755F49">
        <w:rPr>
          <w:color w:val="000000" w:themeColor="text1"/>
          <w:sz w:val="21"/>
          <w:szCs w:val="21"/>
        </w:rPr>
        <w:t>;17:1317</w:t>
      </w:r>
      <w:proofErr w:type="gramEnd"/>
      <w:r w:rsidRPr="00755F49">
        <w:rPr>
          <w:color w:val="000000" w:themeColor="text1"/>
          <w:sz w:val="21"/>
          <w:szCs w:val="21"/>
        </w:rPr>
        <w:t>-8.</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29.</w:t>
      </w:r>
      <w:r w:rsidRPr="00755F49">
        <w:rPr>
          <w:color w:val="000000" w:themeColor="text1"/>
          <w:sz w:val="21"/>
          <w:szCs w:val="21"/>
        </w:rPr>
        <w:tab/>
      </w:r>
      <w:proofErr w:type="spellStart"/>
      <w:r w:rsidRPr="00755F49">
        <w:rPr>
          <w:color w:val="000000" w:themeColor="text1"/>
          <w:sz w:val="21"/>
          <w:szCs w:val="21"/>
        </w:rPr>
        <w:t>Korinthenberg</w:t>
      </w:r>
      <w:proofErr w:type="spellEnd"/>
      <w:r w:rsidRPr="00755F49">
        <w:rPr>
          <w:color w:val="000000" w:themeColor="text1"/>
          <w:sz w:val="21"/>
          <w:szCs w:val="21"/>
        </w:rPr>
        <w:t xml:space="preserve"> R, </w:t>
      </w:r>
      <w:proofErr w:type="spellStart"/>
      <w:r w:rsidRPr="00755F49">
        <w:rPr>
          <w:color w:val="000000" w:themeColor="text1"/>
          <w:sz w:val="21"/>
          <w:szCs w:val="21"/>
        </w:rPr>
        <w:t>Schessl</w:t>
      </w:r>
      <w:proofErr w:type="spellEnd"/>
      <w:r w:rsidRPr="00755F49">
        <w:rPr>
          <w:color w:val="000000" w:themeColor="text1"/>
          <w:sz w:val="21"/>
          <w:szCs w:val="21"/>
        </w:rPr>
        <w:t xml:space="preserve"> J, </w:t>
      </w:r>
      <w:proofErr w:type="spellStart"/>
      <w:r w:rsidRPr="00755F49">
        <w:rPr>
          <w:color w:val="000000" w:themeColor="text1"/>
          <w:sz w:val="21"/>
          <w:szCs w:val="21"/>
        </w:rPr>
        <w:t>Kirschner</w:t>
      </w:r>
      <w:proofErr w:type="spellEnd"/>
      <w:r w:rsidRPr="00755F49">
        <w:rPr>
          <w:color w:val="000000" w:themeColor="text1"/>
          <w:sz w:val="21"/>
          <w:szCs w:val="21"/>
        </w:rPr>
        <w:t xml:space="preserve"> J. Clinical presentation and course of childhood Guillain-Barre syndrome: a prospective </w:t>
      </w:r>
      <w:proofErr w:type="spellStart"/>
      <w:r w:rsidRPr="00755F49">
        <w:rPr>
          <w:color w:val="000000" w:themeColor="text1"/>
          <w:sz w:val="21"/>
          <w:szCs w:val="21"/>
        </w:rPr>
        <w:t>multicentre</w:t>
      </w:r>
      <w:proofErr w:type="spellEnd"/>
      <w:r w:rsidRPr="00755F49">
        <w:rPr>
          <w:color w:val="000000" w:themeColor="text1"/>
          <w:sz w:val="21"/>
          <w:szCs w:val="21"/>
        </w:rPr>
        <w:t xml:space="preserve"> study. </w:t>
      </w:r>
      <w:proofErr w:type="spellStart"/>
      <w:r w:rsidRPr="00755F49">
        <w:rPr>
          <w:rStyle w:val="Emphasis"/>
          <w:i w:val="0"/>
          <w:color w:val="000000" w:themeColor="text1"/>
          <w:sz w:val="21"/>
          <w:szCs w:val="21"/>
        </w:rPr>
        <w:t>Neuropediatrics</w:t>
      </w:r>
      <w:proofErr w:type="spellEnd"/>
      <w:r w:rsidRPr="00755F49">
        <w:rPr>
          <w:rStyle w:val="Emphasis"/>
          <w:i w:val="0"/>
          <w:color w:val="000000" w:themeColor="text1"/>
          <w:sz w:val="21"/>
          <w:szCs w:val="21"/>
        </w:rPr>
        <w:t xml:space="preserve"> </w:t>
      </w:r>
      <w:r w:rsidRPr="00755F49">
        <w:rPr>
          <w:color w:val="000000" w:themeColor="text1"/>
          <w:sz w:val="21"/>
          <w:szCs w:val="21"/>
        </w:rPr>
        <w:t>2007</w:t>
      </w:r>
      <w:proofErr w:type="gramStart"/>
      <w:r w:rsidRPr="00755F49">
        <w:rPr>
          <w:color w:val="000000" w:themeColor="text1"/>
          <w:sz w:val="21"/>
          <w:szCs w:val="21"/>
        </w:rPr>
        <w:t>;38:10</w:t>
      </w:r>
      <w:proofErr w:type="gramEnd"/>
      <w:r w:rsidRPr="00755F49">
        <w:rPr>
          <w:color w:val="000000" w:themeColor="text1"/>
          <w:sz w:val="21"/>
          <w:szCs w:val="21"/>
        </w:rPr>
        <w:t>-7.</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30.</w:t>
      </w:r>
      <w:r w:rsidRPr="00755F49">
        <w:rPr>
          <w:color w:val="000000" w:themeColor="text1"/>
          <w:sz w:val="21"/>
          <w:szCs w:val="21"/>
        </w:rPr>
        <w:tab/>
      </w:r>
      <w:proofErr w:type="spellStart"/>
      <w:r w:rsidRPr="00755F49">
        <w:rPr>
          <w:color w:val="000000" w:themeColor="text1"/>
          <w:sz w:val="21"/>
          <w:szCs w:val="21"/>
        </w:rPr>
        <w:t>Shafqat</w:t>
      </w:r>
      <w:proofErr w:type="spellEnd"/>
      <w:r w:rsidRPr="00755F49">
        <w:rPr>
          <w:color w:val="000000" w:themeColor="text1"/>
          <w:sz w:val="21"/>
          <w:szCs w:val="21"/>
        </w:rPr>
        <w:t xml:space="preserve"> S, </w:t>
      </w:r>
      <w:proofErr w:type="spellStart"/>
      <w:r w:rsidRPr="00755F49">
        <w:rPr>
          <w:color w:val="000000" w:themeColor="text1"/>
          <w:sz w:val="21"/>
          <w:szCs w:val="21"/>
        </w:rPr>
        <w:t>Khealani</w:t>
      </w:r>
      <w:proofErr w:type="spellEnd"/>
      <w:r w:rsidRPr="00755F49">
        <w:rPr>
          <w:color w:val="000000" w:themeColor="text1"/>
          <w:sz w:val="21"/>
          <w:szCs w:val="21"/>
        </w:rPr>
        <w:t xml:space="preserve"> BA, </w:t>
      </w:r>
      <w:proofErr w:type="spellStart"/>
      <w:r w:rsidRPr="00755F49">
        <w:rPr>
          <w:color w:val="000000" w:themeColor="text1"/>
          <w:sz w:val="21"/>
          <w:szCs w:val="21"/>
        </w:rPr>
        <w:t>Awan</w:t>
      </w:r>
      <w:proofErr w:type="spellEnd"/>
      <w:r w:rsidRPr="00755F49">
        <w:rPr>
          <w:color w:val="000000" w:themeColor="text1"/>
          <w:sz w:val="21"/>
          <w:szCs w:val="21"/>
        </w:rPr>
        <w:t xml:space="preserve"> F, </w:t>
      </w:r>
      <w:proofErr w:type="spellStart"/>
      <w:r w:rsidRPr="00755F49">
        <w:rPr>
          <w:color w:val="000000" w:themeColor="text1"/>
          <w:sz w:val="21"/>
          <w:szCs w:val="21"/>
        </w:rPr>
        <w:t>Abedin</w:t>
      </w:r>
      <w:proofErr w:type="spellEnd"/>
      <w:r w:rsidRPr="00755F49">
        <w:rPr>
          <w:color w:val="000000" w:themeColor="text1"/>
          <w:sz w:val="21"/>
          <w:szCs w:val="21"/>
        </w:rPr>
        <w:t xml:space="preserve"> SE. Guillain-Barre syndrome in Pakistan: similarity of demyelinating and axonal variants. </w:t>
      </w:r>
      <w:proofErr w:type="spellStart"/>
      <w:r w:rsidRPr="00755F49">
        <w:rPr>
          <w:rStyle w:val="Emphasis"/>
          <w:i w:val="0"/>
          <w:color w:val="000000" w:themeColor="text1"/>
          <w:sz w:val="21"/>
          <w:szCs w:val="21"/>
        </w:rPr>
        <w:t>Eur</w:t>
      </w:r>
      <w:proofErr w:type="spellEnd"/>
      <w:r w:rsidRPr="00755F49">
        <w:rPr>
          <w:rStyle w:val="Emphasis"/>
          <w:i w:val="0"/>
          <w:color w:val="000000" w:themeColor="text1"/>
          <w:sz w:val="21"/>
          <w:szCs w:val="21"/>
        </w:rPr>
        <w:t xml:space="preserve"> J </w:t>
      </w:r>
      <w:proofErr w:type="spellStart"/>
      <w:r w:rsidRPr="00755F49">
        <w:rPr>
          <w:rStyle w:val="Emphasis"/>
          <w:i w:val="0"/>
          <w:color w:val="000000" w:themeColor="text1"/>
          <w:sz w:val="21"/>
          <w:szCs w:val="21"/>
        </w:rPr>
        <w:t>Neurol</w:t>
      </w:r>
      <w:proofErr w:type="spellEnd"/>
      <w:r w:rsidRPr="00755F49">
        <w:rPr>
          <w:rStyle w:val="Emphasis"/>
          <w:i w:val="0"/>
          <w:color w:val="000000" w:themeColor="text1"/>
          <w:sz w:val="21"/>
          <w:szCs w:val="21"/>
        </w:rPr>
        <w:t xml:space="preserve"> </w:t>
      </w:r>
      <w:r w:rsidRPr="00755F49">
        <w:rPr>
          <w:color w:val="000000" w:themeColor="text1"/>
          <w:sz w:val="21"/>
          <w:szCs w:val="21"/>
        </w:rPr>
        <w:t>2006</w:t>
      </w:r>
      <w:proofErr w:type="gramStart"/>
      <w:r w:rsidRPr="00755F49">
        <w:rPr>
          <w:color w:val="000000" w:themeColor="text1"/>
          <w:sz w:val="21"/>
          <w:szCs w:val="21"/>
        </w:rPr>
        <w:t>;13:662</w:t>
      </w:r>
      <w:proofErr w:type="gramEnd"/>
      <w:r w:rsidRPr="00755F49">
        <w:rPr>
          <w:color w:val="000000" w:themeColor="text1"/>
          <w:sz w:val="21"/>
          <w:szCs w:val="21"/>
        </w:rPr>
        <w:t>-5.</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31.</w:t>
      </w:r>
      <w:r w:rsidRPr="00755F49">
        <w:rPr>
          <w:color w:val="000000" w:themeColor="text1"/>
          <w:sz w:val="21"/>
          <w:szCs w:val="21"/>
        </w:rPr>
        <w:tab/>
      </w:r>
      <w:proofErr w:type="spellStart"/>
      <w:r w:rsidRPr="00755F49">
        <w:rPr>
          <w:color w:val="000000" w:themeColor="text1"/>
          <w:sz w:val="21"/>
          <w:szCs w:val="21"/>
        </w:rPr>
        <w:t>Kalra</w:t>
      </w:r>
      <w:proofErr w:type="spellEnd"/>
      <w:r w:rsidRPr="00755F49">
        <w:rPr>
          <w:color w:val="000000" w:themeColor="text1"/>
          <w:sz w:val="21"/>
          <w:szCs w:val="21"/>
        </w:rPr>
        <w:t xml:space="preserve"> V, </w:t>
      </w:r>
      <w:proofErr w:type="spellStart"/>
      <w:r w:rsidRPr="00755F49">
        <w:rPr>
          <w:color w:val="000000" w:themeColor="text1"/>
          <w:sz w:val="21"/>
          <w:szCs w:val="21"/>
        </w:rPr>
        <w:t>Sankhyan</w:t>
      </w:r>
      <w:proofErr w:type="spellEnd"/>
      <w:r w:rsidRPr="00755F49">
        <w:rPr>
          <w:color w:val="000000" w:themeColor="text1"/>
          <w:sz w:val="21"/>
          <w:szCs w:val="21"/>
        </w:rPr>
        <w:t xml:space="preserve"> N, Sharma S, </w:t>
      </w:r>
      <w:proofErr w:type="spellStart"/>
      <w:r w:rsidRPr="00755F49">
        <w:rPr>
          <w:color w:val="000000" w:themeColor="text1"/>
          <w:sz w:val="21"/>
          <w:szCs w:val="21"/>
        </w:rPr>
        <w:t>Gulati</w:t>
      </w:r>
      <w:proofErr w:type="spellEnd"/>
      <w:r w:rsidRPr="00755F49">
        <w:rPr>
          <w:color w:val="000000" w:themeColor="text1"/>
          <w:sz w:val="21"/>
          <w:szCs w:val="21"/>
        </w:rPr>
        <w:t xml:space="preserve"> S, </w:t>
      </w:r>
      <w:proofErr w:type="spellStart"/>
      <w:r w:rsidRPr="00755F49">
        <w:rPr>
          <w:color w:val="000000" w:themeColor="text1"/>
          <w:sz w:val="21"/>
          <w:szCs w:val="21"/>
        </w:rPr>
        <w:t>Choudhry</w:t>
      </w:r>
      <w:proofErr w:type="spellEnd"/>
      <w:r w:rsidRPr="00755F49">
        <w:rPr>
          <w:color w:val="000000" w:themeColor="text1"/>
          <w:sz w:val="21"/>
          <w:szCs w:val="21"/>
        </w:rPr>
        <w:t xml:space="preserve"> R, </w:t>
      </w:r>
      <w:proofErr w:type="spellStart"/>
      <w:r w:rsidRPr="00755F49">
        <w:rPr>
          <w:color w:val="000000" w:themeColor="text1"/>
          <w:sz w:val="21"/>
          <w:szCs w:val="21"/>
        </w:rPr>
        <w:t>Dhawan</w:t>
      </w:r>
      <w:proofErr w:type="spellEnd"/>
      <w:r w:rsidRPr="00755F49">
        <w:rPr>
          <w:color w:val="000000" w:themeColor="text1"/>
          <w:sz w:val="21"/>
          <w:szCs w:val="21"/>
        </w:rPr>
        <w:t xml:space="preserve"> B. Outcome in childhood Guillain-Barre syndrome. </w:t>
      </w:r>
      <w:r w:rsidRPr="00755F49">
        <w:rPr>
          <w:rStyle w:val="Emphasis"/>
          <w:i w:val="0"/>
          <w:color w:val="000000" w:themeColor="text1"/>
          <w:sz w:val="21"/>
          <w:szCs w:val="21"/>
        </w:rPr>
        <w:t xml:space="preserve">Indian J </w:t>
      </w:r>
      <w:proofErr w:type="spellStart"/>
      <w:r w:rsidRPr="00755F49">
        <w:rPr>
          <w:rStyle w:val="Emphasis"/>
          <w:i w:val="0"/>
          <w:color w:val="000000" w:themeColor="text1"/>
          <w:sz w:val="21"/>
          <w:szCs w:val="21"/>
        </w:rPr>
        <w:t>Pediatr</w:t>
      </w:r>
      <w:proofErr w:type="spellEnd"/>
      <w:r w:rsidRPr="00755F49">
        <w:rPr>
          <w:rStyle w:val="Emphasis"/>
          <w:i w:val="0"/>
          <w:color w:val="000000" w:themeColor="text1"/>
          <w:sz w:val="21"/>
          <w:szCs w:val="21"/>
        </w:rPr>
        <w:t xml:space="preserve"> </w:t>
      </w:r>
      <w:r w:rsidRPr="00755F49">
        <w:rPr>
          <w:color w:val="000000" w:themeColor="text1"/>
          <w:sz w:val="21"/>
          <w:szCs w:val="21"/>
        </w:rPr>
        <w:t>2009</w:t>
      </w:r>
      <w:proofErr w:type="gramStart"/>
      <w:r w:rsidRPr="00755F49">
        <w:rPr>
          <w:color w:val="000000" w:themeColor="text1"/>
          <w:sz w:val="21"/>
          <w:szCs w:val="21"/>
        </w:rPr>
        <w:t>;76:795</w:t>
      </w:r>
      <w:proofErr w:type="gramEnd"/>
      <w:r w:rsidRPr="00755F49">
        <w:rPr>
          <w:color w:val="000000" w:themeColor="text1"/>
          <w:sz w:val="21"/>
          <w:szCs w:val="21"/>
        </w:rPr>
        <w:t>-9.</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32.</w:t>
      </w:r>
      <w:r w:rsidRPr="00755F49">
        <w:rPr>
          <w:color w:val="000000" w:themeColor="text1"/>
          <w:sz w:val="21"/>
          <w:szCs w:val="21"/>
        </w:rPr>
        <w:tab/>
      </w:r>
      <w:proofErr w:type="spellStart"/>
      <w:r w:rsidRPr="00755F49">
        <w:rPr>
          <w:color w:val="000000" w:themeColor="text1"/>
          <w:sz w:val="21"/>
          <w:szCs w:val="21"/>
        </w:rPr>
        <w:t>Roodbol</w:t>
      </w:r>
      <w:proofErr w:type="spellEnd"/>
      <w:r w:rsidRPr="00755F49">
        <w:rPr>
          <w:color w:val="000000" w:themeColor="text1"/>
          <w:sz w:val="21"/>
          <w:szCs w:val="21"/>
        </w:rPr>
        <w:t xml:space="preserve"> J, de Wit MC, </w:t>
      </w:r>
      <w:proofErr w:type="spellStart"/>
      <w:r w:rsidRPr="00755F49">
        <w:rPr>
          <w:color w:val="000000" w:themeColor="text1"/>
          <w:sz w:val="21"/>
          <w:szCs w:val="21"/>
        </w:rPr>
        <w:t>Walgaard</w:t>
      </w:r>
      <w:proofErr w:type="spellEnd"/>
      <w:r w:rsidRPr="00755F49">
        <w:rPr>
          <w:color w:val="000000" w:themeColor="text1"/>
          <w:sz w:val="21"/>
          <w:szCs w:val="21"/>
        </w:rPr>
        <w:t xml:space="preserve"> C, de </w:t>
      </w:r>
      <w:proofErr w:type="spellStart"/>
      <w:r w:rsidRPr="00755F49">
        <w:rPr>
          <w:color w:val="000000" w:themeColor="text1"/>
          <w:sz w:val="21"/>
          <w:szCs w:val="21"/>
        </w:rPr>
        <w:t>Hoog</w:t>
      </w:r>
      <w:proofErr w:type="spellEnd"/>
      <w:r w:rsidRPr="00755F49">
        <w:rPr>
          <w:color w:val="000000" w:themeColor="text1"/>
          <w:sz w:val="21"/>
          <w:szCs w:val="21"/>
        </w:rPr>
        <w:t xml:space="preserve"> M, </w:t>
      </w:r>
      <w:proofErr w:type="spellStart"/>
      <w:r w:rsidRPr="00755F49">
        <w:rPr>
          <w:color w:val="000000" w:themeColor="text1"/>
          <w:sz w:val="21"/>
          <w:szCs w:val="21"/>
        </w:rPr>
        <w:t>Catsman-Berrevoets</w:t>
      </w:r>
      <w:proofErr w:type="spellEnd"/>
      <w:r w:rsidRPr="00755F49">
        <w:rPr>
          <w:color w:val="000000" w:themeColor="text1"/>
          <w:sz w:val="21"/>
          <w:szCs w:val="21"/>
        </w:rPr>
        <w:t xml:space="preserve"> CE, Jacobs BC. </w:t>
      </w:r>
      <w:proofErr w:type="gramStart"/>
      <w:r w:rsidRPr="00755F49">
        <w:rPr>
          <w:color w:val="000000" w:themeColor="text1"/>
          <w:sz w:val="21"/>
          <w:szCs w:val="21"/>
        </w:rPr>
        <w:t>Recognizing Guillain-Barre syndrome in preschool children.</w:t>
      </w:r>
      <w:proofErr w:type="gramEnd"/>
      <w:r w:rsidRPr="00755F49">
        <w:rPr>
          <w:color w:val="000000" w:themeColor="text1"/>
          <w:sz w:val="21"/>
          <w:szCs w:val="21"/>
        </w:rPr>
        <w:t xml:space="preserve"> </w:t>
      </w:r>
      <w:r w:rsidRPr="00755F49">
        <w:rPr>
          <w:rStyle w:val="Emphasis"/>
          <w:i w:val="0"/>
          <w:color w:val="000000" w:themeColor="text1"/>
          <w:sz w:val="21"/>
          <w:szCs w:val="21"/>
        </w:rPr>
        <w:t xml:space="preserve">Neurology </w:t>
      </w:r>
      <w:r w:rsidRPr="00755F49">
        <w:rPr>
          <w:color w:val="000000" w:themeColor="text1"/>
          <w:sz w:val="21"/>
          <w:szCs w:val="21"/>
        </w:rPr>
        <w:t>2011</w:t>
      </w:r>
      <w:proofErr w:type="gramStart"/>
      <w:r w:rsidRPr="00755F49">
        <w:rPr>
          <w:color w:val="000000" w:themeColor="text1"/>
          <w:sz w:val="21"/>
          <w:szCs w:val="21"/>
        </w:rPr>
        <w:t>;76:807</w:t>
      </w:r>
      <w:proofErr w:type="gramEnd"/>
      <w:r w:rsidRPr="00755F49">
        <w:rPr>
          <w:color w:val="000000" w:themeColor="text1"/>
          <w:sz w:val="21"/>
          <w:szCs w:val="21"/>
        </w:rPr>
        <w:t>-10.</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33.</w:t>
      </w:r>
      <w:r w:rsidRPr="00755F49">
        <w:rPr>
          <w:color w:val="000000" w:themeColor="text1"/>
          <w:sz w:val="21"/>
          <w:szCs w:val="21"/>
        </w:rPr>
        <w:tab/>
        <w:t>al-</w:t>
      </w:r>
      <w:proofErr w:type="spellStart"/>
      <w:r w:rsidRPr="00755F49">
        <w:rPr>
          <w:color w:val="000000" w:themeColor="text1"/>
          <w:sz w:val="21"/>
          <w:szCs w:val="21"/>
        </w:rPr>
        <w:t>Qudah</w:t>
      </w:r>
      <w:proofErr w:type="spellEnd"/>
      <w:r w:rsidRPr="00755F49">
        <w:rPr>
          <w:color w:val="000000" w:themeColor="text1"/>
          <w:sz w:val="21"/>
          <w:szCs w:val="21"/>
        </w:rPr>
        <w:t xml:space="preserve"> AA, </w:t>
      </w:r>
      <w:proofErr w:type="spellStart"/>
      <w:r w:rsidRPr="00755F49">
        <w:rPr>
          <w:color w:val="000000" w:themeColor="text1"/>
          <w:sz w:val="21"/>
          <w:szCs w:val="21"/>
        </w:rPr>
        <w:t>Shahar</w:t>
      </w:r>
      <w:proofErr w:type="spellEnd"/>
      <w:r w:rsidRPr="00755F49">
        <w:rPr>
          <w:color w:val="000000" w:themeColor="text1"/>
          <w:sz w:val="21"/>
          <w:szCs w:val="21"/>
        </w:rPr>
        <w:t xml:space="preserve"> E, Logan WJ, Murphy EG. </w:t>
      </w:r>
      <w:proofErr w:type="gramStart"/>
      <w:r w:rsidRPr="00755F49">
        <w:rPr>
          <w:color w:val="000000" w:themeColor="text1"/>
          <w:sz w:val="21"/>
          <w:szCs w:val="21"/>
        </w:rPr>
        <w:t>Neonatal Guillain-Barre syndrome.</w:t>
      </w:r>
      <w:proofErr w:type="gramEnd"/>
      <w:r w:rsidRPr="00755F49">
        <w:rPr>
          <w:color w:val="000000" w:themeColor="text1"/>
          <w:sz w:val="21"/>
          <w:szCs w:val="21"/>
        </w:rPr>
        <w:t xml:space="preserve"> </w:t>
      </w:r>
      <w:proofErr w:type="spellStart"/>
      <w:r w:rsidRPr="00755F49">
        <w:rPr>
          <w:rStyle w:val="Emphasis"/>
          <w:i w:val="0"/>
          <w:color w:val="000000" w:themeColor="text1"/>
          <w:sz w:val="21"/>
          <w:szCs w:val="21"/>
        </w:rPr>
        <w:t>Pediatr</w:t>
      </w:r>
      <w:proofErr w:type="spellEnd"/>
      <w:r w:rsidRPr="00755F49">
        <w:rPr>
          <w:rStyle w:val="Emphasis"/>
          <w:i w:val="0"/>
          <w:color w:val="000000" w:themeColor="text1"/>
          <w:sz w:val="21"/>
          <w:szCs w:val="21"/>
        </w:rPr>
        <w:t xml:space="preserve"> </w:t>
      </w:r>
      <w:proofErr w:type="spellStart"/>
      <w:r w:rsidRPr="00755F49">
        <w:rPr>
          <w:rStyle w:val="Emphasis"/>
          <w:i w:val="0"/>
          <w:color w:val="000000" w:themeColor="text1"/>
          <w:sz w:val="21"/>
          <w:szCs w:val="21"/>
        </w:rPr>
        <w:t>Neurol</w:t>
      </w:r>
      <w:proofErr w:type="spellEnd"/>
      <w:r w:rsidRPr="00755F49">
        <w:rPr>
          <w:rStyle w:val="Emphasis"/>
          <w:i w:val="0"/>
          <w:color w:val="000000" w:themeColor="text1"/>
          <w:sz w:val="21"/>
          <w:szCs w:val="21"/>
        </w:rPr>
        <w:t xml:space="preserve"> </w:t>
      </w:r>
      <w:r w:rsidRPr="00755F49">
        <w:rPr>
          <w:color w:val="000000" w:themeColor="text1"/>
          <w:sz w:val="21"/>
          <w:szCs w:val="21"/>
        </w:rPr>
        <w:t>1988</w:t>
      </w:r>
      <w:proofErr w:type="gramStart"/>
      <w:r w:rsidRPr="00755F49">
        <w:rPr>
          <w:color w:val="000000" w:themeColor="text1"/>
          <w:sz w:val="21"/>
          <w:szCs w:val="21"/>
        </w:rPr>
        <w:t>;4:255</w:t>
      </w:r>
      <w:proofErr w:type="gramEnd"/>
      <w:r w:rsidRPr="00755F49">
        <w:rPr>
          <w:color w:val="000000" w:themeColor="text1"/>
          <w:sz w:val="21"/>
          <w:szCs w:val="21"/>
        </w:rPr>
        <w:t>-6.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34.</w:t>
      </w:r>
      <w:r w:rsidRPr="00755F49">
        <w:rPr>
          <w:color w:val="000000" w:themeColor="text1"/>
          <w:sz w:val="21"/>
          <w:szCs w:val="21"/>
        </w:rPr>
        <w:tab/>
      </w:r>
      <w:proofErr w:type="spellStart"/>
      <w:r w:rsidRPr="00755F49">
        <w:rPr>
          <w:color w:val="000000" w:themeColor="text1"/>
          <w:sz w:val="21"/>
          <w:szCs w:val="21"/>
        </w:rPr>
        <w:t>Kieseier</w:t>
      </w:r>
      <w:proofErr w:type="spellEnd"/>
      <w:r w:rsidRPr="00755F49">
        <w:rPr>
          <w:color w:val="000000" w:themeColor="text1"/>
          <w:sz w:val="21"/>
          <w:szCs w:val="21"/>
        </w:rPr>
        <w:t xml:space="preserve"> BC, Kiefer R, Gold R, Hemmer B, </w:t>
      </w:r>
      <w:proofErr w:type="spellStart"/>
      <w:r w:rsidRPr="00755F49">
        <w:rPr>
          <w:color w:val="000000" w:themeColor="text1"/>
          <w:sz w:val="21"/>
          <w:szCs w:val="21"/>
        </w:rPr>
        <w:t>Willison</w:t>
      </w:r>
      <w:proofErr w:type="spellEnd"/>
      <w:r w:rsidRPr="00755F49">
        <w:rPr>
          <w:color w:val="000000" w:themeColor="text1"/>
          <w:sz w:val="21"/>
          <w:szCs w:val="21"/>
        </w:rPr>
        <w:t xml:space="preserve"> HJ, </w:t>
      </w:r>
      <w:proofErr w:type="spellStart"/>
      <w:r w:rsidRPr="00755F49">
        <w:rPr>
          <w:color w:val="000000" w:themeColor="text1"/>
          <w:sz w:val="21"/>
          <w:szCs w:val="21"/>
        </w:rPr>
        <w:t>Hartung</w:t>
      </w:r>
      <w:proofErr w:type="spellEnd"/>
      <w:r w:rsidRPr="00755F49">
        <w:rPr>
          <w:color w:val="000000" w:themeColor="text1"/>
          <w:sz w:val="21"/>
          <w:szCs w:val="21"/>
        </w:rPr>
        <w:t xml:space="preserve"> HP. Advances in understanding and treatment of immune-mediated disorders of the peripheral nervous system. </w:t>
      </w:r>
      <w:r w:rsidRPr="00755F49">
        <w:rPr>
          <w:rStyle w:val="Emphasis"/>
          <w:i w:val="0"/>
          <w:color w:val="000000" w:themeColor="text1"/>
          <w:sz w:val="21"/>
          <w:szCs w:val="21"/>
        </w:rPr>
        <w:t xml:space="preserve">Muscle Nerve </w:t>
      </w:r>
      <w:r w:rsidRPr="00755F49">
        <w:rPr>
          <w:color w:val="000000" w:themeColor="text1"/>
          <w:sz w:val="21"/>
          <w:szCs w:val="21"/>
        </w:rPr>
        <w:t>2004</w:t>
      </w:r>
      <w:proofErr w:type="gramStart"/>
      <w:r w:rsidRPr="00755F49">
        <w:rPr>
          <w:color w:val="000000" w:themeColor="text1"/>
          <w:sz w:val="21"/>
          <w:szCs w:val="21"/>
        </w:rPr>
        <w:t>;30:131</w:t>
      </w:r>
      <w:proofErr w:type="gramEnd"/>
      <w:r w:rsidRPr="00755F49">
        <w:rPr>
          <w:color w:val="000000" w:themeColor="text1"/>
          <w:sz w:val="21"/>
          <w:szCs w:val="21"/>
        </w:rPr>
        <w:t>-56.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35.</w:t>
      </w:r>
      <w:r w:rsidRPr="00755F49">
        <w:rPr>
          <w:color w:val="000000" w:themeColor="text1"/>
          <w:sz w:val="21"/>
          <w:szCs w:val="21"/>
        </w:rPr>
        <w:tab/>
        <w:t xml:space="preserve">Hughes RA. </w:t>
      </w:r>
      <w:proofErr w:type="gramStart"/>
      <w:r w:rsidRPr="00755F49">
        <w:rPr>
          <w:color w:val="000000" w:themeColor="text1"/>
          <w:sz w:val="21"/>
          <w:szCs w:val="21"/>
        </w:rPr>
        <w:t>The concept and classification of Guillain-Barre syndrome and related disorders.</w:t>
      </w:r>
      <w:proofErr w:type="gramEnd"/>
      <w:r w:rsidRPr="00755F49">
        <w:rPr>
          <w:color w:val="000000" w:themeColor="text1"/>
          <w:sz w:val="21"/>
          <w:szCs w:val="21"/>
        </w:rPr>
        <w:t xml:space="preserve"> </w:t>
      </w:r>
      <w:r w:rsidRPr="00755F49">
        <w:rPr>
          <w:rStyle w:val="Emphasis"/>
          <w:i w:val="0"/>
          <w:color w:val="000000" w:themeColor="text1"/>
          <w:sz w:val="21"/>
          <w:szCs w:val="21"/>
        </w:rPr>
        <w:t xml:space="preserve">Rev </w:t>
      </w:r>
      <w:proofErr w:type="spellStart"/>
      <w:r w:rsidRPr="00755F49">
        <w:rPr>
          <w:rStyle w:val="Emphasis"/>
          <w:i w:val="0"/>
          <w:color w:val="000000" w:themeColor="text1"/>
          <w:sz w:val="21"/>
          <w:szCs w:val="21"/>
        </w:rPr>
        <w:t>Neurol</w:t>
      </w:r>
      <w:proofErr w:type="spellEnd"/>
      <w:r w:rsidRPr="00755F49">
        <w:rPr>
          <w:rStyle w:val="Emphasis"/>
          <w:i w:val="0"/>
          <w:color w:val="000000" w:themeColor="text1"/>
          <w:sz w:val="21"/>
          <w:szCs w:val="21"/>
        </w:rPr>
        <w:t xml:space="preserve"> (Paris) </w:t>
      </w:r>
      <w:r w:rsidRPr="00755F49">
        <w:rPr>
          <w:color w:val="000000" w:themeColor="text1"/>
          <w:sz w:val="21"/>
          <w:szCs w:val="21"/>
        </w:rPr>
        <w:t>1995</w:t>
      </w:r>
      <w:proofErr w:type="gramStart"/>
      <w:r w:rsidRPr="00755F49">
        <w:rPr>
          <w:color w:val="000000" w:themeColor="text1"/>
          <w:sz w:val="21"/>
          <w:szCs w:val="21"/>
        </w:rPr>
        <w:t>;151:291</w:t>
      </w:r>
      <w:proofErr w:type="gramEnd"/>
      <w:r w:rsidRPr="00755F49">
        <w:rPr>
          <w:color w:val="000000" w:themeColor="text1"/>
          <w:sz w:val="21"/>
          <w:szCs w:val="21"/>
        </w:rPr>
        <w:t>-4.</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36.</w:t>
      </w:r>
      <w:r w:rsidRPr="00755F49">
        <w:rPr>
          <w:color w:val="000000" w:themeColor="text1"/>
          <w:sz w:val="21"/>
          <w:szCs w:val="21"/>
        </w:rPr>
        <w:tab/>
      </w:r>
      <w:proofErr w:type="spellStart"/>
      <w:r w:rsidRPr="00755F49">
        <w:rPr>
          <w:color w:val="000000" w:themeColor="text1"/>
          <w:sz w:val="21"/>
          <w:szCs w:val="21"/>
        </w:rPr>
        <w:t>Schwerer</w:t>
      </w:r>
      <w:proofErr w:type="spellEnd"/>
      <w:r w:rsidRPr="00755F49">
        <w:rPr>
          <w:color w:val="000000" w:themeColor="text1"/>
          <w:sz w:val="21"/>
          <w:szCs w:val="21"/>
        </w:rPr>
        <w:t xml:space="preserve"> B. Antibodies against </w:t>
      </w:r>
      <w:proofErr w:type="spellStart"/>
      <w:r w:rsidRPr="00755F49">
        <w:rPr>
          <w:color w:val="000000" w:themeColor="text1"/>
          <w:sz w:val="21"/>
          <w:szCs w:val="21"/>
        </w:rPr>
        <w:t>gangliosides</w:t>
      </w:r>
      <w:proofErr w:type="spellEnd"/>
      <w:r w:rsidRPr="00755F49">
        <w:rPr>
          <w:color w:val="000000" w:themeColor="text1"/>
          <w:sz w:val="21"/>
          <w:szCs w:val="21"/>
        </w:rPr>
        <w:t xml:space="preserve">: a link between preceding infection and </w:t>
      </w:r>
      <w:proofErr w:type="spellStart"/>
      <w:r w:rsidRPr="00755F49">
        <w:rPr>
          <w:color w:val="000000" w:themeColor="text1"/>
          <w:sz w:val="21"/>
          <w:szCs w:val="21"/>
        </w:rPr>
        <w:t>immunopathogenesis</w:t>
      </w:r>
      <w:proofErr w:type="spellEnd"/>
      <w:r w:rsidRPr="00755F49">
        <w:rPr>
          <w:color w:val="000000" w:themeColor="text1"/>
          <w:sz w:val="21"/>
          <w:szCs w:val="21"/>
        </w:rPr>
        <w:t xml:space="preserve"> of Guillain-Barre syndrome. </w:t>
      </w:r>
      <w:r w:rsidRPr="00755F49">
        <w:rPr>
          <w:rStyle w:val="Emphasis"/>
          <w:i w:val="0"/>
          <w:color w:val="000000" w:themeColor="text1"/>
          <w:sz w:val="21"/>
          <w:szCs w:val="21"/>
        </w:rPr>
        <w:t xml:space="preserve">Microbes Infect </w:t>
      </w:r>
      <w:r w:rsidRPr="00755F49">
        <w:rPr>
          <w:color w:val="000000" w:themeColor="text1"/>
          <w:sz w:val="21"/>
          <w:szCs w:val="21"/>
        </w:rPr>
        <w:t>2002</w:t>
      </w:r>
      <w:proofErr w:type="gramStart"/>
      <w:r w:rsidRPr="00755F49">
        <w:rPr>
          <w:color w:val="000000" w:themeColor="text1"/>
          <w:sz w:val="21"/>
          <w:szCs w:val="21"/>
        </w:rPr>
        <w:t>;4:373</w:t>
      </w:r>
      <w:proofErr w:type="gramEnd"/>
      <w:r w:rsidRPr="00755F49">
        <w:rPr>
          <w:color w:val="000000" w:themeColor="text1"/>
          <w:sz w:val="21"/>
          <w:szCs w:val="21"/>
        </w:rPr>
        <w:t>-84.</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37.</w:t>
      </w:r>
      <w:r w:rsidRPr="00755F49">
        <w:rPr>
          <w:color w:val="000000" w:themeColor="text1"/>
          <w:sz w:val="21"/>
          <w:szCs w:val="21"/>
        </w:rPr>
        <w:tab/>
      </w:r>
      <w:proofErr w:type="spellStart"/>
      <w:r w:rsidRPr="00755F49">
        <w:rPr>
          <w:color w:val="000000" w:themeColor="text1"/>
          <w:sz w:val="21"/>
          <w:szCs w:val="21"/>
        </w:rPr>
        <w:t>Ilyas</w:t>
      </w:r>
      <w:proofErr w:type="spellEnd"/>
      <w:r w:rsidRPr="00755F49">
        <w:rPr>
          <w:color w:val="000000" w:themeColor="text1"/>
          <w:sz w:val="21"/>
          <w:szCs w:val="21"/>
        </w:rPr>
        <w:t xml:space="preserve"> M, </w:t>
      </w:r>
      <w:proofErr w:type="spellStart"/>
      <w:r w:rsidRPr="00755F49">
        <w:rPr>
          <w:color w:val="000000" w:themeColor="text1"/>
          <w:sz w:val="21"/>
          <w:szCs w:val="21"/>
        </w:rPr>
        <w:t>Tolaymat</w:t>
      </w:r>
      <w:proofErr w:type="spellEnd"/>
      <w:r w:rsidRPr="00755F49">
        <w:rPr>
          <w:color w:val="000000" w:themeColor="text1"/>
          <w:sz w:val="21"/>
          <w:szCs w:val="21"/>
        </w:rPr>
        <w:t xml:space="preserve"> A. Minimal change </w:t>
      </w:r>
      <w:proofErr w:type="spellStart"/>
      <w:r w:rsidRPr="00755F49">
        <w:rPr>
          <w:color w:val="000000" w:themeColor="text1"/>
          <w:sz w:val="21"/>
          <w:szCs w:val="21"/>
        </w:rPr>
        <w:t>nephrotic</w:t>
      </w:r>
      <w:proofErr w:type="spellEnd"/>
      <w:r w:rsidRPr="00755F49">
        <w:rPr>
          <w:color w:val="000000" w:themeColor="text1"/>
          <w:sz w:val="21"/>
          <w:szCs w:val="21"/>
        </w:rPr>
        <w:t xml:space="preserve"> syndrome with Guillain-Barre syndrome. </w:t>
      </w:r>
      <w:proofErr w:type="spellStart"/>
      <w:r w:rsidRPr="00755F49">
        <w:rPr>
          <w:rStyle w:val="Emphasis"/>
          <w:i w:val="0"/>
          <w:color w:val="000000" w:themeColor="text1"/>
          <w:sz w:val="21"/>
          <w:szCs w:val="21"/>
        </w:rPr>
        <w:t>Pediatr</w:t>
      </w:r>
      <w:proofErr w:type="spellEnd"/>
      <w:r w:rsidRPr="00755F49">
        <w:rPr>
          <w:rStyle w:val="Emphasis"/>
          <w:i w:val="0"/>
          <w:color w:val="000000" w:themeColor="text1"/>
          <w:sz w:val="21"/>
          <w:szCs w:val="21"/>
        </w:rPr>
        <w:t xml:space="preserve"> </w:t>
      </w:r>
      <w:proofErr w:type="spellStart"/>
      <w:r w:rsidRPr="00755F49">
        <w:rPr>
          <w:rStyle w:val="Emphasis"/>
          <w:i w:val="0"/>
          <w:color w:val="000000" w:themeColor="text1"/>
          <w:sz w:val="21"/>
          <w:szCs w:val="21"/>
        </w:rPr>
        <w:t>Nephrol</w:t>
      </w:r>
      <w:proofErr w:type="spellEnd"/>
      <w:r w:rsidRPr="00755F49">
        <w:rPr>
          <w:rStyle w:val="Emphasis"/>
          <w:i w:val="0"/>
          <w:color w:val="000000" w:themeColor="text1"/>
          <w:sz w:val="21"/>
          <w:szCs w:val="21"/>
        </w:rPr>
        <w:t xml:space="preserve"> </w:t>
      </w:r>
      <w:r w:rsidRPr="00755F49">
        <w:rPr>
          <w:color w:val="000000" w:themeColor="text1"/>
          <w:sz w:val="21"/>
          <w:szCs w:val="21"/>
        </w:rPr>
        <w:t>2004</w:t>
      </w:r>
      <w:proofErr w:type="gramStart"/>
      <w:r w:rsidRPr="00755F49">
        <w:rPr>
          <w:color w:val="000000" w:themeColor="text1"/>
          <w:sz w:val="21"/>
          <w:szCs w:val="21"/>
        </w:rPr>
        <w:t>;19:105</w:t>
      </w:r>
      <w:proofErr w:type="gramEnd"/>
      <w:r w:rsidRPr="00755F49">
        <w:rPr>
          <w:color w:val="000000" w:themeColor="text1"/>
          <w:sz w:val="21"/>
          <w:szCs w:val="21"/>
        </w:rPr>
        <w:t>-6.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lastRenderedPageBreak/>
        <w:t>38.</w:t>
      </w:r>
      <w:r w:rsidRPr="00755F49">
        <w:rPr>
          <w:color w:val="000000" w:themeColor="text1"/>
          <w:sz w:val="21"/>
          <w:szCs w:val="21"/>
        </w:rPr>
        <w:tab/>
      </w:r>
      <w:proofErr w:type="spellStart"/>
      <w:r w:rsidRPr="00755F49">
        <w:rPr>
          <w:color w:val="000000" w:themeColor="text1"/>
          <w:sz w:val="21"/>
          <w:szCs w:val="21"/>
        </w:rPr>
        <w:t>Heiner</w:t>
      </w:r>
      <w:proofErr w:type="spellEnd"/>
      <w:r w:rsidRPr="00755F49">
        <w:rPr>
          <w:color w:val="000000" w:themeColor="text1"/>
          <w:sz w:val="21"/>
          <w:szCs w:val="21"/>
        </w:rPr>
        <w:t xml:space="preserve"> JD, Ball VL. </w:t>
      </w:r>
      <w:proofErr w:type="gramStart"/>
      <w:r w:rsidRPr="00755F49">
        <w:rPr>
          <w:color w:val="000000" w:themeColor="text1"/>
          <w:sz w:val="21"/>
          <w:szCs w:val="21"/>
        </w:rPr>
        <w:t>A child with benign acute childhood myositis after influenza.</w:t>
      </w:r>
      <w:proofErr w:type="gramEnd"/>
      <w:r w:rsidRPr="00755F49">
        <w:rPr>
          <w:color w:val="000000" w:themeColor="text1"/>
          <w:sz w:val="21"/>
          <w:szCs w:val="21"/>
        </w:rPr>
        <w:t xml:space="preserve"> </w:t>
      </w:r>
      <w:r w:rsidRPr="00755F49">
        <w:rPr>
          <w:rStyle w:val="Emphasis"/>
          <w:i w:val="0"/>
          <w:color w:val="000000" w:themeColor="text1"/>
          <w:sz w:val="21"/>
          <w:szCs w:val="21"/>
        </w:rPr>
        <w:t xml:space="preserve">J </w:t>
      </w:r>
      <w:proofErr w:type="spellStart"/>
      <w:r w:rsidRPr="00755F49">
        <w:rPr>
          <w:rStyle w:val="Emphasis"/>
          <w:i w:val="0"/>
          <w:color w:val="000000" w:themeColor="text1"/>
          <w:sz w:val="21"/>
          <w:szCs w:val="21"/>
        </w:rPr>
        <w:t>Emerg</w:t>
      </w:r>
      <w:proofErr w:type="spellEnd"/>
      <w:r w:rsidRPr="00755F49">
        <w:rPr>
          <w:rStyle w:val="Emphasis"/>
          <w:i w:val="0"/>
          <w:color w:val="000000" w:themeColor="text1"/>
          <w:sz w:val="21"/>
          <w:szCs w:val="21"/>
        </w:rPr>
        <w:t xml:space="preserve"> Med </w:t>
      </w:r>
      <w:r w:rsidRPr="00755F49">
        <w:rPr>
          <w:color w:val="000000" w:themeColor="text1"/>
          <w:sz w:val="21"/>
          <w:szCs w:val="21"/>
        </w:rPr>
        <w:t>2010</w:t>
      </w:r>
      <w:proofErr w:type="gramStart"/>
      <w:r w:rsidRPr="00755F49">
        <w:rPr>
          <w:color w:val="000000" w:themeColor="text1"/>
          <w:sz w:val="21"/>
          <w:szCs w:val="21"/>
        </w:rPr>
        <w:t>;39:316</w:t>
      </w:r>
      <w:proofErr w:type="gramEnd"/>
      <w:r w:rsidRPr="00755F49">
        <w:rPr>
          <w:color w:val="000000" w:themeColor="text1"/>
          <w:sz w:val="21"/>
          <w:szCs w:val="21"/>
        </w:rPr>
        <w:t>-9.</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39.</w:t>
      </w:r>
      <w:r w:rsidRPr="00755F49">
        <w:rPr>
          <w:color w:val="000000" w:themeColor="text1"/>
          <w:sz w:val="21"/>
          <w:szCs w:val="21"/>
        </w:rPr>
        <w:tab/>
      </w:r>
      <w:proofErr w:type="spellStart"/>
      <w:r w:rsidRPr="00755F49">
        <w:rPr>
          <w:color w:val="000000" w:themeColor="text1"/>
          <w:sz w:val="21"/>
          <w:szCs w:val="21"/>
        </w:rPr>
        <w:t>Lacroix</w:t>
      </w:r>
      <w:proofErr w:type="spellEnd"/>
      <w:r w:rsidRPr="00755F49">
        <w:rPr>
          <w:color w:val="000000" w:themeColor="text1"/>
          <w:sz w:val="21"/>
          <w:szCs w:val="21"/>
        </w:rPr>
        <w:t xml:space="preserve"> LE, </w:t>
      </w:r>
      <w:proofErr w:type="spellStart"/>
      <w:r w:rsidRPr="00755F49">
        <w:rPr>
          <w:color w:val="000000" w:themeColor="text1"/>
          <w:sz w:val="21"/>
          <w:szCs w:val="21"/>
        </w:rPr>
        <w:t>Galetto</w:t>
      </w:r>
      <w:proofErr w:type="spellEnd"/>
      <w:r w:rsidRPr="00755F49">
        <w:rPr>
          <w:color w:val="000000" w:themeColor="text1"/>
          <w:sz w:val="21"/>
          <w:szCs w:val="21"/>
        </w:rPr>
        <w:t xml:space="preserve"> A, </w:t>
      </w:r>
      <w:proofErr w:type="spellStart"/>
      <w:r w:rsidRPr="00755F49">
        <w:rPr>
          <w:color w:val="000000" w:themeColor="text1"/>
          <w:sz w:val="21"/>
          <w:szCs w:val="21"/>
        </w:rPr>
        <w:t>Haenggeli</w:t>
      </w:r>
      <w:proofErr w:type="spellEnd"/>
      <w:r w:rsidRPr="00755F49">
        <w:rPr>
          <w:color w:val="000000" w:themeColor="text1"/>
          <w:sz w:val="21"/>
          <w:szCs w:val="21"/>
        </w:rPr>
        <w:t xml:space="preserve"> CA, </w:t>
      </w:r>
      <w:proofErr w:type="spellStart"/>
      <w:r w:rsidRPr="00755F49">
        <w:rPr>
          <w:color w:val="000000" w:themeColor="text1"/>
          <w:sz w:val="21"/>
          <w:szCs w:val="21"/>
        </w:rPr>
        <w:t>Gervaix</w:t>
      </w:r>
      <w:proofErr w:type="spellEnd"/>
      <w:r w:rsidRPr="00755F49">
        <w:rPr>
          <w:color w:val="000000" w:themeColor="text1"/>
          <w:sz w:val="21"/>
          <w:szCs w:val="21"/>
        </w:rPr>
        <w:t xml:space="preserve"> A. Delayed recognition of Guillain-Barre syndrome in a child: a misleading respiratory distress. </w:t>
      </w:r>
      <w:r w:rsidRPr="00755F49">
        <w:rPr>
          <w:rStyle w:val="Emphasis"/>
          <w:i w:val="0"/>
          <w:color w:val="000000" w:themeColor="text1"/>
          <w:sz w:val="21"/>
          <w:szCs w:val="21"/>
        </w:rPr>
        <w:t xml:space="preserve">J </w:t>
      </w:r>
      <w:proofErr w:type="spellStart"/>
      <w:r w:rsidRPr="00755F49">
        <w:rPr>
          <w:rStyle w:val="Emphasis"/>
          <w:i w:val="0"/>
          <w:color w:val="000000" w:themeColor="text1"/>
          <w:sz w:val="21"/>
          <w:szCs w:val="21"/>
        </w:rPr>
        <w:t>Emerg</w:t>
      </w:r>
      <w:proofErr w:type="spellEnd"/>
      <w:r w:rsidRPr="00755F49">
        <w:rPr>
          <w:rStyle w:val="Emphasis"/>
          <w:i w:val="0"/>
          <w:color w:val="000000" w:themeColor="text1"/>
          <w:sz w:val="21"/>
          <w:szCs w:val="21"/>
        </w:rPr>
        <w:t xml:space="preserve"> Med </w:t>
      </w:r>
      <w:r w:rsidRPr="00755F49">
        <w:rPr>
          <w:color w:val="000000" w:themeColor="text1"/>
          <w:sz w:val="21"/>
          <w:szCs w:val="21"/>
        </w:rPr>
        <w:t>2010</w:t>
      </w:r>
      <w:proofErr w:type="gramStart"/>
      <w:r w:rsidRPr="00755F49">
        <w:rPr>
          <w:color w:val="000000" w:themeColor="text1"/>
          <w:sz w:val="21"/>
          <w:szCs w:val="21"/>
        </w:rPr>
        <w:t>;38:e59</w:t>
      </w:r>
      <w:proofErr w:type="gramEnd"/>
      <w:r w:rsidRPr="00755F49">
        <w:rPr>
          <w:color w:val="000000" w:themeColor="text1"/>
          <w:sz w:val="21"/>
          <w:szCs w:val="21"/>
        </w:rPr>
        <w:t>-61.</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40.</w:t>
      </w:r>
      <w:r w:rsidRPr="00755F49">
        <w:rPr>
          <w:color w:val="000000" w:themeColor="text1"/>
          <w:sz w:val="21"/>
          <w:szCs w:val="21"/>
        </w:rPr>
        <w:tab/>
      </w:r>
      <w:proofErr w:type="spellStart"/>
      <w:r w:rsidRPr="00755F49">
        <w:rPr>
          <w:color w:val="000000" w:themeColor="text1"/>
          <w:sz w:val="21"/>
          <w:szCs w:val="21"/>
        </w:rPr>
        <w:t>Gorson</w:t>
      </w:r>
      <w:proofErr w:type="spellEnd"/>
      <w:r w:rsidRPr="00755F49">
        <w:rPr>
          <w:color w:val="000000" w:themeColor="text1"/>
          <w:sz w:val="21"/>
          <w:szCs w:val="21"/>
        </w:rPr>
        <w:t xml:space="preserve"> KC, </w:t>
      </w:r>
      <w:proofErr w:type="spellStart"/>
      <w:r w:rsidRPr="00755F49">
        <w:rPr>
          <w:color w:val="000000" w:themeColor="text1"/>
          <w:sz w:val="21"/>
          <w:szCs w:val="21"/>
        </w:rPr>
        <w:t>Ropper</w:t>
      </w:r>
      <w:proofErr w:type="spellEnd"/>
      <w:r w:rsidRPr="00755F49">
        <w:rPr>
          <w:color w:val="000000" w:themeColor="text1"/>
          <w:sz w:val="21"/>
          <w:szCs w:val="21"/>
        </w:rPr>
        <w:t xml:space="preserve"> AH, </w:t>
      </w:r>
      <w:proofErr w:type="spellStart"/>
      <w:r w:rsidRPr="00755F49">
        <w:rPr>
          <w:color w:val="000000" w:themeColor="text1"/>
          <w:sz w:val="21"/>
          <w:szCs w:val="21"/>
        </w:rPr>
        <w:t>Muriello</w:t>
      </w:r>
      <w:proofErr w:type="spellEnd"/>
      <w:r w:rsidRPr="00755F49">
        <w:rPr>
          <w:color w:val="000000" w:themeColor="text1"/>
          <w:sz w:val="21"/>
          <w:szCs w:val="21"/>
        </w:rPr>
        <w:t xml:space="preserve"> MA, Blair R. Prospective evaluation of MRI lumbosacral nerve root enhancement in acute Guillain-Barre syndrome. </w:t>
      </w:r>
      <w:r w:rsidRPr="00755F49">
        <w:rPr>
          <w:rStyle w:val="Emphasis"/>
          <w:i w:val="0"/>
          <w:color w:val="000000" w:themeColor="text1"/>
          <w:sz w:val="21"/>
          <w:szCs w:val="21"/>
        </w:rPr>
        <w:t xml:space="preserve">Neurology </w:t>
      </w:r>
      <w:r w:rsidRPr="00755F49">
        <w:rPr>
          <w:color w:val="000000" w:themeColor="text1"/>
          <w:sz w:val="21"/>
          <w:szCs w:val="21"/>
        </w:rPr>
        <w:t>1996</w:t>
      </w:r>
      <w:proofErr w:type="gramStart"/>
      <w:r w:rsidRPr="00755F49">
        <w:rPr>
          <w:color w:val="000000" w:themeColor="text1"/>
          <w:sz w:val="21"/>
          <w:szCs w:val="21"/>
        </w:rPr>
        <w:t>;47:813</w:t>
      </w:r>
      <w:proofErr w:type="gramEnd"/>
      <w:r w:rsidRPr="00755F49">
        <w:rPr>
          <w:color w:val="000000" w:themeColor="text1"/>
          <w:sz w:val="21"/>
          <w:szCs w:val="21"/>
        </w:rPr>
        <w:t>-7.</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41.</w:t>
      </w:r>
      <w:r w:rsidRPr="00755F49">
        <w:rPr>
          <w:color w:val="000000" w:themeColor="text1"/>
          <w:sz w:val="21"/>
          <w:szCs w:val="21"/>
        </w:rPr>
        <w:tab/>
      </w:r>
      <w:proofErr w:type="spellStart"/>
      <w:r w:rsidRPr="00755F49">
        <w:rPr>
          <w:color w:val="000000" w:themeColor="text1"/>
          <w:sz w:val="21"/>
          <w:szCs w:val="21"/>
        </w:rPr>
        <w:t>Nishimoto</w:t>
      </w:r>
      <w:proofErr w:type="spellEnd"/>
      <w:r w:rsidRPr="00755F49">
        <w:rPr>
          <w:color w:val="000000" w:themeColor="text1"/>
          <w:sz w:val="21"/>
          <w:szCs w:val="21"/>
        </w:rPr>
        <w:t xml:space="preserve"> Y, </w:t>
      </w:r>
      <w:proofErr w:type="spellStart"/>
      <w:r w:rsidRPr="00755F49">
        <w:rPr>
          <w:color w:val="000000" w:themeColor="text1"/>
          <w:sz w:val="21"/>
          <w:szCs w:val="21"/>
        </w:rPr>
        <w:t>Susuki</w:t>
      </w:r>
      <w:proofErr w:type="spellEnd"/>
      <w:r w:rsidRPr="00755F49">
        <w:rPr>
          <w:color w:val="000000" w:themeColor="text1"/>
          <w:sz w:val="21"/>
          <w:szCs w:val="21"/>
        </w:rPr>
        <w:t xml:space="preserve"> K, Yuki N. Serologic marker of acute motor axonal neuropathy in childhood. </w:t>
      </w:r>
      <w:proofErr w:type="spellStart"/>
      <w:r w:rsidRPr="00755F49">
        <w:rPr>
          <w:rStyle w:val="Emphasis"/>
          <w:i w:val="0"/>
          <w:color w:val="000000" w:themeColor="text1"/>
          <w:sz w:val="21"/>
          <w:szCs w:val="21"/>
        </w:rPr>
        <w:t>Pediatr</w:t>
      </w:r>
      <w:proofErr w:type="spellEnd"/>
      <w:r w:rsidRPr="00755F49">
        <w:rPr>
          <w:rStyle w:val="Emphasis"/>
          <w:i w:val="0"/>
          <w:color w:val="000000" w:themeColor="text1"/>
          <w:sz w:val="21"/>
          <w:szCs w:val="21"/>
        </w:rPr>
        <w:t xml:space="preserve"> </w:t>
      </w:r>
      <w:proofErr w:type="spellStart"/>
      <w:r w:rsidRPr="00755F49">
        <w:rPr>
          <w:rStyle w:val="Emphasis"/>
          <w:i w:val="0"/>
          <w:color w:val="000000" w:themeColor="text1"/>
          <w:sz w:val="21"/>
          <w:szCs w:val="21"/>
        </w:rPr>
        <w:t>Neurol</w:t>
      </w:r>
      <w:proofErr w:type="spellEnd"/>
      <w:r w:rsidRPr="00755F49">
        <w:rPr>
          <w:rStyle w:val="Emphasis"/>
          <w:i w:val="0"/>
          <w:color w:val="000000" w:themeColor="text1"/>
          <w:sz w:val="21"/>
          <w:szCs w:val="21"/>
        </w:rPr>
        <w:t xml:space="preserve"> </w:t>
      </w:r>
      <w:r w:rsidRPr="00755F49">
        <w:rPr>
          <w:color w:val="000000" w:themeColor="text1"/>
          <w:sz w:val="21"/>
          <w:szCs w:val="21"/>
        </w:rPr>
        <w:t>2008</w:t>
      </w:r>
      <w:proofErr w:type="gramStart"/>
      <w:r w:rsidRPr="00755F49">
        <w:rPr>
          <w:color w:val="000000" w:themeColor="text1"/>
          <w:sz w:val="21"/>
          <w:szCs w:val="21"/>
        </w:rPr>
        <w:t>;39:67</w:t>
      </w:r>
      <w:proofErr w:type="gramEnd"/>
      <w:r w:rsidRPr="00755F49">
        <w:rPr>
          <w:color w:val="000000" w:themeColor="text1"/>
          <w:sz w:val="21"/>
          <w:szCs w:val="21"/>
        </w:rPr>
        <w:t>-70.</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42.</w:t>
      </w:r>
      <w:r w:rsidRPr="00755F49">
        <w:rPr>
          <w:color w:val="000000" w:themeColor="text1"/>
          <w:sz w:val="21"/>
          <w:szCs w:val="21"/>
        </w:rPr>
        <w:tab/>
      </w:r>
      <w:proofErr w:type="spellStart"/>
      <w:r w:rsidRPr="00755F49">
        <w:rPr>
          <w:color w:val="000000" w:themeColor="text1"/>
          <w:sz w:val="21"/>
          <w:szCs w:val="21"/>
        </w:rPr>
        <w:t>Schessl</w:t>
      </w:r>
      <w:proofErr w:type="spellEnd"/>
      <w:r w:rsidRPr="00755F49">
        <w:rPr>
          <w:color w:val="000000" w:themeColor="text1"/>
          <w:sz w:val="21"/>
          <w:szCs w:val="21"/>
        </w:rPr>
        <w:t xml:space="preserve"> J, Koga M, Funakoshi K, </w:t>
      </w:r>
      <w:proofErr w:type="spellStart"/>
      <w:r w:rsidRPr="00755F49">
        <w:rPr>
          <w:color w:val="000000" w:themeColor="text1"/>
          <w:sz w:val="21"/>
          <w:szCs w:val="21"/>
        </w:rPr>
        <w:t>Kirschner</w:t>
      </w:r>
      <w:proofErr w:type="spellEnd"/>
      <w:r w:rsidRPr="00755F49">
        <w:rPr>
          <w:color w:val="000000" w:themeColor="text1"/>
          <w:sz w:val="21"/>
          <w:szCs w:val="21"/>
        </w:rPr>
        <w:t xml:space="preserve"> J, </w:t>
      </w:r>
      <w:proofErr w:type="spellStart"/>
      <w:r w:rsidRPr="00755F49">
        <w:rPr>
          <w:color w:val="000000" w:themeColor="text1"/>
          <w:sz w:val="21"/>
          <w:szCs w:val="21"/>
        </w:rPr>
        <w:t>Muellges</w:t>
      </w:r>
      <w:proofErr w:type="spellEnd"/>
      <w:r w:rsidRPr="00755F49">
        <w:rPr>
          <w:color w:val="000000" w:themeColor="text1"/>
          <w:sz w:val="21"/>
          <w:szCs w:val="21"/>
        </w:rPr>
        <w:t xml:space="preserve"> W, </w:t>
      </w:r>
      <w:proofErr w:type="spellStart"/>
      <w:r w:rsidRPr="00755F49">
        <w:rPr>
          <w:color w:val="000000" w:themeColor="text1"/>
          <w:sz w:val="21"/>
          <w:szCs w:val="21"/>
        </w:rPr>
        <w:t>Weishaupt</w:t>
      </w:r>
      <w:proofErr w:type="spellEnd"/>
      <w:r w:rsidRPr="00755F49">
        <w:rPr>
          <w:color w:val="000000" w:themeColor="text1"/>
          <w:sz w:val="21"/>
          <w:szCs w:val="21"/>
        </w:rPr>
        <w:t xml:space="preserve"> A, et al. Prospective study on anti-</w:t>
      </w:r>
      <w:proofErr w:type="spellStart"/>
      <w:r w:rsidRPr="00755F49">
        <w:rPr>
          <w:color w:val="000000" w:themeColor="text1"/>
          <w:sz w:val="21"/>
          <w:szCs w:val="21"/>
        </w:rPr>
        <w:t>ganglioside</w:t>
      </w:r>
      <w:proofErr w:type="spellEnd"/>
      <w:r w:rsidRPr="00755F49">
        <w:rPr>
          <w:color w:val="000000" w:themeColor="text1"/>
          <w:sz w:val="21"/>
          <w:szCs w:val="21"/>
        </w:rPr>
        <w:t xml:space="preserve"> antibodies in childhood Guillain-Barre syndrome. </w:t>
      </w:r>
      <w:r w:rsidRPr="00755F49">
        <w:rPr>
          <w:rStyle w:val="Emphasis"/>
          <w:i w:val="0"/>
          <w:color w:val="000000" w:themeColor="text1"/>
          <w:sz w:val="21"/>
          <w:szCs w:val="21"/>
        </w:rPr>
        <w:t xml:space="preserve">Arch Dis Child </w:t>
      </w:r>
      <w:r w:rsidRPr="00755F49">
        <w:rPr>
          <w:color w:val="000000" w:themeColor="text1"/>
          <w:sz w:val="21"/>
          <w:szCs w:val="21"/>
        </w:rPr>
        <w:t>2007</w:t>
      </w:r>
      <w:proofErr w:type="gramStart"/>
      <w:r w:rsidRPr="00755F49">
        <w:rPr>
          <w:color w:val="000000" w:themeColor="text1"/>
          <w:sz w:val="21"/>
          <w:szCs w:val="21"/>
        </w:rPr>
        <w:t>;92:48</w:t>
      </w:r>
      <w:proofErr w:type="gramEnd"/>
      <w:r w:rsidRPr="00755F49">
        <w:rPr>
          <w:color w:val="000000" w:themeColor="text1"/>
          <w:sz w:val="21"/>
          <w:szCs w:val="21"/>
        </w:rPr>
        <w:t>-52.</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43.</w:t>
      </w:r>
      <w:r w:rsidRPr="00755F49">
        <w:rPr>
          <w:color w:val="000000" w:themeColor="text1"/>
          <w:sz w:val="21"/>
          <w:szCs w:val="21"/>
        </w:rPr>
        <w:tab/>
        <w:t xml:space="preserve">Hughes RA, </w:t>
      </w:r>
      <w:proofErr w:type="spellStart"/>
      <w:r w:rsidRPr="00755F49">
        <w:rPr>
          <w:color w:val="000000" w:themeColor="text1"/>
          <w:sz w:val="21"/>
          <w:szCs w:val="21"/>
        </w:rPr>
        <w:t>Wijdicks</w:t>
      </w:r>
      <w:proofErr w:type="spellEnd"/>
      <w:r w:rsidRPr="00755F49">
        <w:rPr>
          <w:color w:val="000000" w:themeColor="text1"/>
          <w:sz w:val="21"/>
          <w:szCs w:val="21"/>
        </w:rPr>
        <w:t xml:space="preserve"> EF, </w:t>
      </w:r>
      <w:proofErr w:type="spellStart"/>
      <w:r w:rsidRPr="00755F49">
        <w:rPr>
          <w:color w:val="000000" w:themeColor="text1"/>
          <w:sz w:val="21"/>
          <w:szCs w:val="21"/>
        </w:rPr>
        <w:t>Barohn</w:t>
      </w:r>
      <w:proofErr w:type="spellEnd"/>
      <w:r w:rsidRPr="00755F49">
        <w:rPr>
          <w:color w:val="000000" w:themeColor="text1"/>
          <w:sz w:val="21"/>
          <w:szCs w:val="21"/>
        </w:rPr>
        <w:t xml:space="preserve"> R, Benson E, </w:t>
      </w:r>
      <w:proofErr w:type="spellStart"/>
      <w:r w:rsidRPr="00755F49">
        <w:rPr>
          <w:color w:val="000000" w:themeColor="text1"/>
          <w:sz w:val="21"/>
          <w:szCs w:val="21"/>
        </w:rPr>
        <w:t>Cornblath</w:t>
      </w:r>
      <w:proofErr w:type="spellEnd"/>
      <w:r w:rsidRPr="00755F49">
        <w:rPr>
          <w:color w:val="000000" w:themeColor="text1"/>
          <w:sz w:val="21"/>
          <w:szCs w:val="21"/>
        </w:rPr>
        <w:t xml:space="preserve"> DR, </w:t>
      </w:r>
      <w:proofErr w:type="gramStart"/>
      <w:r w:rsidRPr="00755F49">
        <w:rPr>
          <w:color w:val="000000" w:themeColor="text1"/>
          <w:sz w:val="21"/>
          <w:szCs w:val="21"/>
        </w:rPr>
        <w:t>Hahn</w:t>
      </w:r>
      <w:proofErr w:type="gramEnd"/>
      <w:r w:rsidRPr="00755F49">
        <w:rPr>
          <w:color w:val="000000" w:themeColor="text1"/>
          <w:sz w:val="21"/>
          <w:szCs w:val="21"/>
        </w:rPr>
        <w:t xml:space="preserve"> AF, et al. Practice parameter: immunotherapy for Guillain-Barre syndrome: report of the Quality Standards Subcommittee of the American Academy of Neurology. </w:t>
      </w:r>
      <w:r w:rsidRPr="00755F49">
        <w:rPr>
          <w:rStyle w:val="Emphasis"/>
          <w:i w:val="0"/>
          <w:color w:val="000000" w:themeColor="text1"/>
          <w:sz w:val="21"/>
          <w:szCs w:val="21"/>
        </w:rPr>
        <w:t xml:space="preserve">Neurology </w:t>
      </w:r>
      <w:r w:rsidRPr="00755F49">
        <w:rPr>
          <w:color w:val="000000" w:themeColor="text1"/>
          <w:sz w:val="21"/>
          <w:szCs w:val="21"/>
        </w:rPr>
        <w:t>2003</w:t>
      </w:r>
      <w:proofErr w:type="gramStart"/>
      <w:r w:rsidRPr="00755F49">
        <w:rPr>
          <w:color w:val="000000" w:themeColor="text1"/>
          <w:sz w:val="21"/>
          <w:szCs w:val="21"/>
        </w:rPr>
        <w:t>;61:736</w:t>
      </w:r>
      <w:proofErr w:type="gramEnd"/>
      <w:r w:rsidRPr="00755F49">
        <w:rPr>
          <w:color w:val="000000" w:themeColor="text1"/>
          <w:sz w:val="21"/>
          <w:szCs w:val="21"/>
        </w:rPr>
        <w:t>-40.</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44.</w:t>
      </w:r>
      <w:r w:rsidRPr="00755F49">
        <w:rPr>
          <w:color w:val="000000" w:themeColor="text1"/>
          <w:sz w:val="21"/>
          <w:szCs w:val="21"/>
        </w:rPr>
        <w:tab/>
      </w:r>
      <w:proofErr w:type="spellStart"/>
      <w:r w:rsidRPr="00755F49">
        <w:rPr>
          <w:color w:val="000000" w:themeColor="text1"/>
          <w:sz w:val="21"/>
          <w:szCs w:val="21"/>
        </w:rPr>
        <w:t>Yata</w:t>
      </w:r>
      <w:proofErr w:type="spellEnd"/>
      <w:r w:rsidRPr="00755F49">
        <w:rPr>
          <w:color w:val="000000" w:themeColor="text1"/>
          <w:sz w:val="21"/>
          <w:szCs w:val="21"/>
        </w:rPr>
        <w:t xml:space="preserve"> J, Nihei K, </w:t>
      </w:r>
      <w:proofErr w:type="spellStart"/>
      <w:r w:rsidRPr="00755F49">
        <w:rPr>
          <w:color w:val="000000" w:themeColor="text1"/>
          <w:sz w:val="21"/>
          <w:szCs w:val="21"/>
        </w:rPr>
        <w:t>Ohya</w:t>
      </w:r>
      <w:proofErr w:type="spellEnd"/>
      <w:r w:rsidRPr="00755F49">
        <w:rPr>
          <w:color w:val="000000" w:themeColor="text1"/>
          <w:sz w:val="21"/>
          <w:szCs w:val="21"/>
        </w:rPr>
        <w:t xml:space="preserve"> T, Hirano Y, </w:t>
      </w:r>
      <w:proofErr w:type="spellStart"/>
      <w:r w:rsidRPr="00755F49">
        <w:rPr>
          <w:color w:val="000000" w:themeColor="text1"/>
          <w:sz w:val="21"/>
          <w:szCs w:val="21"/>
        </w:rPr>
        <w:t>Momoi</w:t>
      </w:r>
      <w:proofErr w:type="spellEnd"/>
      <w:r w:rsidRPr="00755F49">
        <w:rPr>
          <w:color w:val="000000" w:themeColor="text1"/>
          <w:sz w:val="21"/>
          <w:szCs w:val="21"/>
        </w:rPr>
        <w:t xml:space="preserve"> M, </w:t>
      </w:r>
      <w:proofErr w:type="spellStart"/>
      <w:r w:rsidRPr="00755F49">
        <w:rPr>
          <w:color w:val="000000" w:themeColor="text1"/>
          <w:sz w:val="21"/>
          <w:szCs w:val="21"/>
        </w:rPr>
        <w:t>Maekawa</w:t>
      </w:r>
      <w:proofErr w:type="spellEnd"/>
      <w:r w:rsidRPr="00755F49">
        <w:rPr>
          <w:color w:val="000000" w:themeColor="text1"/>
          <w:sz w:val="21"/>
          <w:szCs w:val="21"/>
        </w:rPr>
        <w:t xml:space="preserve"> K, et al. High-dose immunoglobulin therapy for </w:t>
      </w:r>
      <w:proofErr w:type="spellStart"/>
      <w:r w:rsidRPr="00755F49">
        <w:rPr>
          <w:color w:val="000000" w:themeColor="text1"/>
          <w:sz w:val="21"/>
          <w:szCs w:val="21"/>
        </w:rPr>
        <w:t>Guillain-Barré</w:t>
      </w:r>
      <w:proofErr w:type="spellEnd"/>
      <w:r w:rsidRPr="00755F49">
        <w:rPr>
          <w:color w:val="000000" w:themeColor="text1"/>
          <w:sz w:val="21"/>
          <w:szCs w:val="21"/>
        </w:rPr>
        <w:t xml:space="preserve"> syndrome in Japanese children. </w:t>
      </w:r>
      <w:proofErr w:type="spellStart"/>
      <w:r w:rsidRPr="00755F49">
        <w:rPr>
          <w:rStyle w:val="Emphasis"/>
          <w:i w:val="0"/>
          <w:color w:val="000000" w:themeColor="text1"/>
          <w:sz w:val="21"/>
          <w:szCs w:val="21"/>
        </w:rPr>
        <w:t>Pediatr</w:t>
      </w:r>
      <w:proofErr w:type="spellEnd"/>
      <w:r w:rsidRPr="00755F49">
        <w:rPr>
          <w:rStyle w:val="Emphasis"/>
          <w:i w:val="0"/>
          <w:color w:val="000000" w:themeColor="text1"/>
          <w:sz w:val="21"/>
          <w:szCs w:val="21"/>
        </w:rPr>
        <w:t xml:space="preserve"> </w:t>
      </w:r>
      <w:proofErr w:type="spellStart"/>
      <w:r w:rsidRPr="00755F49">
        <w:rPr>
          <w:rStyle w:val="Emphasis"/>
          <w:i w:val="0"/>
          <w:color w:val="000000" w:themeColor="text1"/>
          <w:sz w:val="21"/>
          <w:szCs w:val="21"/>
        </w:rPr>
        <w:t>Int</w:t>
      </w:r>
      <w:proofErr w:type="spellEnd"/>
      <w:r w:rsidRPr="00755F49">
        <w:rPr>
          <w:rStyle w:val="Emphasis"/>
          <w:i w:val="0"/>
          <w:color w:val="000000" w:themeColor="text1"/>
          <w:sz w:val="21"/>
          <w:szCs w:val="21"/>
        </w:rPr>
        <w:t xml:space="preserve"> </w:t>
      </w:r>
      <w:r w:rsidRPr="00755F49">
        <w:rPr>
          <w:color w:val="000000" w:themeColor="text1"/>
          <w:sz w:val="21"/>
          <w:szCs w:val="21"/>
        </w:rPr>
        <w:t>2003</w:t>
      </w:r>
      <w:proofErr w:type="gramStart"/>
      <w:r w:rsidRPr="00755F49">
        <w:rPr>
          <w:color w:val="000000" w:themeColor="text1"/>
          <w:sz w:val="21"/>
          <w:szCs w:val="21"/>
        </w:rPr>
        <w:t>;45:543</w:t>
      </w:r>
      <w:proofErr w:type="gramEnd"/>
      <w:r w:rsidRPr="00755F49">
        <w:rPr>
          <w:color w:val="000000" w:themeColor="text1"/>
          <w:sz w:val="21"/>
          <w:szCs w:val="21"/>
        </w:rPr>
        <w:t>-9.</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45.</w:t>
      </w:r>
      <w:r w:rsidRPr="00755F49">
        <w:rPr>
          <w:color w:val="000000" w:themeColor="text1"/>
          <w:sz w:val="21"/>
          <w:szCs w:val="21"/>
        </w:rPr>
        <w:tab/>
      </w:r>
      <w:proofErr w:type="spellStart"/>
      <w:r w:rsidRPr="00755F49">
        <w:rPr>
          <w:color w:val="000000" w:themeColor="text1"/>
          <w:sz w:val="21"/>
          <w:szCs w:val="21"/>
        </w:rPr>
        <w:t>Korinthenberg</w:t>
      </w:r>
      <w:proofErr w:type="spellEnd"/>
      <w:r w:rsidRPr="00755F49">
        <w:rPr>
          <w:color w:val="000000" w:themeColor="text1"/>
          <w:sz w:val="21"/>
          <w:szCs w:val="21"/>
        </w:rPr>
        <w:t xml:space="preserve"> R, </w:t>
      </w:r>
      <w:proofErr w:type="spellStart"/>
      <w:r w:rsidRPr="00755F49">
        <w:rPr>
          <w:color w:val="000000" w:themeColor="text1"/>
          <w:sz w:val="21"/>
          <w:szCs w:val="21"/>
        </w:rPr>
        <w:t>Schessl</w:t>
      </w:r>
      <w:proofErr w:type="spellEnd"/>
      <w:r w:rsidRPr="00755F49">
        <w:rPr>
          <w:color w:val="000000" w:themeColor="text1"/>
          <w:sz w:val="21"/>
          <w:szCs w:val="21"/>
        </w:rPr>
        <w:t xml:space="preserve"> J, </w:t>
      </w:r>
      <w:proofErr w:type="spellStart"/>
      <w:r w:rsidRPr="00755F49">
        <w:rPr>
          <w:color w:val="000000" w:themeColor="text1"/>
          <w:sz w:val="21"/>
          <w:szCs w:val="21"/>
        </w:rPr>
        <w:t>Kirschner</w:t>
      </w:r>
      <w:proofErr w:type="spellEnd"/>
      <w:r w:rsidRPr="00755F49">
        <w:rPr>
          <w:color w:val="000000" w:themeColor="text1"/>
          <w:sz w:val="21"/>
          <w:szCs w:val="21"/>
        </w:rPr>
        <w:t xml:space="preserve"> J, </w:t>
      </w:r>
      <w:proofErr w:type="spellStart"/>
      <w:r w:rsidRPr="00755F49">
        <w:rPr>
          <w:color w:val="000000" w:themeColor="text1"/>
          <w:sz w:val="21"/>
          <w:szCs w:val="21"/>
        </w:rPr>
        <w:t>Monting</w:t>
      </w:r>
      <w:proofErr w:type="spellEnd"/>
      <w:r w:rsidRPr="00755F49">
        <w:rPr>
          <w:color w:val="000000" w:themeColor="text1"/>
          <w:sz w:val="21"/>
          <w:szCs w:val="21"/>
        </w:rPr>
        <w:t xml:space="preserve"> JS. </w:t>
      </w:r>
      <w:proofErr w:type="gramStart"/>
      <w:r w:rsidRPr="00755F49">
        <w:rPr>
          <w:color w:val="000000" w:themeColor="text1"/>
          <w:sz w:val="21"/>
          <w:szCs w:val="21"/>
        </w:rPr>
        <w:t>Intravenously administered immunoglobulin in the treatment of childhood Guillain-Barre syndrome: a randomized trial.</w:t>
      </w:r>
      <w:proofErr w:type="gramEnd"/>
      <w:r w:rsidRPr="00755F49">
        <w:rPr>
          <w:color w:val="000000" w:themeColor="text1"/>
          <w:sz w:val="21"/>
          <w:szCs w:val="21"/>
        </w:rPr>
        <w:t xml:space="preserve"> </w:t>
      </w:r>
      <w:r w:rsidRPr="00755F49">
        <w:rPr>
          <w:rStyle w:val="Emphasis"/>
          <w:i w:val="0"/>
          <w:color w:val="000000" w:themeColor="text1"/>
          <w:sz w:val="21"/>
          <w:szCs w:val="21"/>
        </w:rPr>
        <w:t xml:space="preserve">Pediatrics </w:t>
      </w:r>
      <w:r w:rsidRPr="00755F49">
        <w:rPr>
          <w:color w:val="000000" w:themeColor="text1"/>
          <w:sz w:val="21"/>
          <w:szCs w:val="21"/>
        </w:rPr>
        <w:t>2005</w:t>
      </w:r>
      <w:proofErr w:type="gramStart"/>
      <w:r w:rsidRPr="00755F49">
        <w:rPr>
          <w:color w:val="000000" w:themeColor="text1"/>
          <w:sz w:val="21"/>
          <w:szCs w:val="21"/>
        </w:rPr>
        <w:t>;116:8</w:t>
      </w:r>
      <w:proofErr w:type="gramEnd"/>
      <w:r w:rsidRPr="00755F49">
        <w:rPr>
          <w:color w:val="000000" w:themeColor="text1"/>
          <w:sz w:val="21"/>
          <w:szCs w:val="21"/>
        </w:rPr>
        <w:t>-14.</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46.</w:t>
      </w:r>
      <w:r w:rsidRPr="00755F49">
        <w:rPr>
          <w:color w:val="000000" w:themeColor="text1"/>
          <w:sz w:val="21"/>
          <w:szCs w:val="21"/>
        </w:rPr>
        <w:tab/>
      </w:r>
      <w:proofErr w:type="spellStart"/>
      <w:r w:rsidRPr="00755F49">
        <w:rPr>
          <w:color w:val="000000" w:themeColor="text1"/>
          <w:sz w:val="21"/>
          <w:szCs w:val="21"/>
        </w:rPr>
        <w:t>Shahar</w:t>
      </w:r>
      <w:proofErr w:type="spellEnd"/>
      <w:r w:rsidRPr="00755F49">
        <w:rPr>
          <w:color w:val="000000" w:themeColor="text1"/>
          <w:sz w:val="21"/>
          <w:szCs w:val="21"/>
        </w:rPr>
        <w:t xml:space="preserve"> E. Current therapeutic options in severe Guillain-Barre syndrome. </w:t>
      </w:r>
      <w:proofErr w:type="spellStart"/>
      <w:r w:rsidRPr="00755F49">
        <w:rPr>
          <w:rStyle w:val="Emphasis"/>
          <w:i w:val="0"/>
          <w:color w:val="000000" w:themeColor="text1"/>
          <w:sz w:val="21"/>
          <w:szCs w:val="21"/>
        </w:rPr>
        <w:t>Clin</w:t>
      </w:r>
      <w:proofErr w:type="spellEnd"/>
      <w:r w:rsidRPr="00755F49">
        <w:rPr>
          <w:rStyle w:val="Emphasis"/>
          <w:i w:val="0"/>
          <w:color w:val="000000" w:themeColor="text1"/>
          <w:sz w:val="21"/>
          <w:szCs w:val="21"/>
        </w:rPr>
        <w:t xml:space="preserve"> </w:t>
      </w:r>
      <w:proofErr w:type="spellStart"/>
      <w:r w:rsidRPr="00755F49">
        <w:rPr>
          <w:rStyle w:val="Emphasis"/>
          <w:i w:val="0"/>
          <w:color w:val="000000" w:themeColor="text1"/>
          <w:sz w:val="21"/>
          <w:szCs w:val="21"/>
        </w:rPr>
        <w:t>Neuropharmacol</w:t>
      </w:r>
      <w:proofErr w:type="spellEnd"/>
      <w:r w:rsidRPr="00755F49">
        <w:rPr>
          <w:rStyle w:val="Emphasis"/>
          <w:i w:val="0"/>
          <w:color w:val="000000" w:themeColor="text1"/>
          <w:sz w:val="21"/>
          <w:szCs w:val="21"/>
        </w:rPr>
        <w:t xml:space="preserve"> </w:t>
      </w:r>
      <w:r w:rsidRPr="00755F49">
        <w:rPr>
          <w:color w:val="000000" w:themeColor="text1"/>
          <w:sz w:val="21"/>
          <w:szCs w:val="21"/>
        </w:rPr>
        <w:t>2006</w:t>
      </w:r>
      <w:proofErr w:type="gramStart"/>
      <w:r w:rsidRPr="00755F49">
        <w:rPr>
          <w:color w:val="000000" w:themeColor="text1"/>
          <w:sz w:val="21"/>
          <w:szCs w:val="21"/>
        </w:rPr>
        <w:t>;29:45</w:t>
      </w:r>
      <w:proofErr w:type="gramEnd"/>
      <w:r w:rsidRPr="00755F49">
        <w:rPr>
          <w:color w:val="000000" w:themeColor="text1"/>
          <w:sz w:val="21"/>
          <w:szCs w:val="21"/>
        </w:rPr>
        <w:t>-51.</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47.</w:t>
      </w:r>
      <w:r w:rsidRPr="00755F49">
        <w:rPr>
          <w:color w:val="000000" w:themeColor="text1"/>
          <w:sz w:val="21"/>
          <w:szCs w:val="21"/>
        </w:rPr>
        <w:tab/>
      </w:r>
      <w:proofErr w:type="spellStart"/>
      <w:r w:rsidRPr="00755F49">
        <w:rPr>
          <w:color w:val="000000" w:themeColor="text1"/>
          <w:sz w:val="21"/>
          <w:szCs w:val="21"/>
        </w:rPr>
        <w:t>Baranwal</w:t>
      </w:r>
      <w:proofErr w:type="spellEnd"/>
      <w:r w:rsidRPr="00755F49">
        <w:rPr>
          <w:color w:val="000000" w:themeColor="text1"/>
          <w:sz w:val="21"/>
          <w:szCs w:val="21"/>
        </w:rPr>
        <w:t xml:space="preserve"> AK, Ravi RN, Singh R. Exchange transfusion: a low-cost alternative for severe childhood Guillain-Barre syndrome. </w:t>
      </w:r>
      <w:r w:rsidRPr="00755F49">
        <w:rPr>
          <w:rStyle w:val="Emphasis"/>
          <w:i w:val="0"/>
          <w:color w:val="000000" w:themeColor="text1"/>
          <w:sz w:val="21"/>
          <w:szCs w:val="21"/>
        </w:rPr>
        <w:t xml:space="preserve">J Child </w:t>
      </w:r>
      <w:proofErr w:type="spellStart"/>
      <w:r w:rsidRPr="00755F49">
        <w:rPr>
          <w:rStyle w:val="Emphasis"/>
          <w:i w:val="0"/>
          <w:color w:val="000000" w:themeColor="text1"/>
          <w:sz w:val="21"/>
          <w:szCs w:val="21"/>
        </w:rPr>
        <w:t>Neurol</w:t>
      </w:r>
      <w:proofErr w:type="spellEnd"/>
      <w:r w:rsidRPr="00755F49">
        <w:rPr>
          <w:rStyle w:val="Emphasis"/>
          <w:i w:val="0"/>
          <w:color w:val="000000" w:themeColor="text1"/>
          <w:sz w:val="21"/>
          <w:szCs w:val="21"/>
        </w:rPr>
        <w:t xml:space="preserve"> </w:t>
      </w:r>
      <w:r w:rsidRPr="00755F49">
        <w:rPr>
          <w:color w:val="000000" w:themeColor="text1"/>
          <w:sz w:val="21"/>
          <w:szCs w:val="21"/>
        </w:rPr>
        <w:t>2006</w:t>
      </w:r>
      <w:proofErr w:type="gramStart"/>
      <w:r w:rsidRPr="00755F49">
        <w:rPr>
          <w:color w:val="000000" w:themeColor="text1"/>
          <w:sz w:val="21"/>
          <w:szCs w:val="21"/>
        </w:rPr>
        <w:t>;21:960</w:t>
      </w:r>
      <w:proofErr w:type="gramEnd"/>
      <w:r w:rsidRPr="00755F49">
        <w:rPr>
          <w:color w:val="000000" w:themeColor="text1"/>
          <w:sz w:val="21"/>
          <w:szCs w:val="21"/>
        </w:rPr>
        <w:t>-65.</w:t>
      </w:r>
    </w:p>
    <w:p w:rsidR="007C5476" w:rsidRPr="00755F49" w:rsidRDefault="007C5476" w:rsidP="00755F49">
      <w:pPr>
        <w:tabs>
          <w:tab w:val="left" w:pos="432"/>
        </w:tabs>
        <w:ind w:left="432" w:hanging="432"/>
        <w:jc w:val="both"/>
        <w:rPr>
          <w:rFonts w:eastAsia="MS Mincho"/>
          <w:color w:val="000000" w:themeColor="text1"/>
          <w:sz w:val="21"/>
          <w:szCs w:val="21"/>
        </w:rPr>
      </w:pPr>
      <w:r w:rsidRPr="00755F49">
        <w:rPr>
          <w:color w:val="000000" w:themeColor="text1"/>
          <w:sz w:val="21"/>
          <w:szCs w:val="21"/>
        </w:rPr>
        <w:t>48.</w:t>
      </w:r>
      <w:r w:rsidRPr="00755F49">
        <w:rPr>
          <w:color w:val="000000" w:themeColor="text1"/>
          <w:sz w:val="21"/>
          <w:szCs w:val="21"/>
        </w:rPr>
        <w:tab/>
        <w:t xml:space="preserve">Centers for Disease Control and Prevention (CDC). Preliminary results: surveillance for Guillain-Barre syndrome after receipt of influenza A (H1N1) 2009 monovalent vaccine - United States, 2009-2010. MMWR </w:t>
      </w:r>
      <w:proofErr w:type="spellStart"/>
      <w:r w:rsidRPr="00755F49">
        <w:rPr>
          <w:color w:val="000000" w:themeColor="text1"/>
          <w:sz w:val="21"/>
          <w:szCs w:val="21"/>
        </w:rPr>
        <w:t>Morb</w:t>
      </w:r>
      <w:proofErr w:type="spellEnd"/>
      <w:r w:rsidRPr="00755F49">
        <w:rPr>
          <w:color w:val="000000" w:themeColor="text1"/>
          <w:sz w:val="21"/>
          <w:szCs w:val="21"/>
        </w:rPr>
        <w:t xml:space="preserve"> Mortal </w:t>
      </w:r>
      <w:proofErr w:type="spellStart"/>
      <w:r w:rsidRPr="00755F49">
        <w:rPr>
          <w:color w:val="000000" w:themeColor="text1"/>
          <w:sz w:val="21"/>
          <w:szCs w:val="21"/>
        </w:rPr>
        <w:t>Wkly</w:t>
      </w:r>
      <w:proofErr w:type="spellEnd"/>
      <w:r w:rsidRPr="00755F49">
        <w:rPr>
          <w:color w:val="000000" w:themeColor="text1"/>
          <w:sz w:val="21"/>
          <w:szCs w:val="21"/>
        </w:rPr>
        <w:t xml:space="preserve"> Rep 2010</w:t>
      </w:r>
      <w:proofErr w:type="gramStart"/>
      <w:r w:rsidRPr="00755F49">
        <w:rPr>
          <w:color w:val="000000" w:themeColor="text1"/>
          <w:sz w:val="21"/>
          <w:szCs w:val="21"/>
        </w:rPr>
        <w:t>;59:657</w:t>
      </w:r>
      <w:proofErr w:type="gramEnd"/>
      <w:r w:rsidRPr="00755F49">
        <w:rPr>
          <w:color w:val="000000" w:themeColor="text1"/>
          <w:sz w:val="21"/>
          <w:szCs w:val="21"/>
        </w:rPr>
        <w:t>-61.</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49.</w:t>
      </w:r>
      <w:r w:rsidRPr="00755F49">
        <w:rPr>
          <w:color w:val="000000" w:themeColor="text1"/>
          <w:sz w:val="21"/>
          <w:szCs w:val="21"/>
        </w:rPr>
        <w:tab/>
        <w:t xml:space="preserve">Yang YR, Liu SL, Qin ZY, Liu FJ, Qin YJ, </w:t>
      </w:r>
      <w:proofErr w:type="spellStart"/>
      <w:r w:rsidRPr="00755F49">
        <w:rPr>
          <w:color w:val="000000" w:themeColor="text1"/>
          <w:sz w:val="21"/>
          <w:szCs w:val="21"/>
        </w:rPr>
        <w:t>Bai</w:t>
      </w:r>
      <w:proofErr w:type="spellEnd"/>
      <w:r w:rsidRPr="00755F49">
        <w:rPr>
          <w:color w:val="000000" w:themeColor="text1"/>
          <w:sz w:val="21"/>
          <w:szCs w:val="21"/>
        </w:rPr>
        <w:t xml:space="preserve"> SM, et al. Comparative proteomics analysis of cerebrospinal fluid of patients with Guillain-Barre syndrome. Cell </w:t>
      </w:r>
      <w:proofErr w:type="spellStart"/>
      <w:r w:rsidRPr="00755F49">
        <w:rPr>
          <w:color w:val="000000" w:themeColor="text1"/>
          <w:sz w:val="21"/>
          <w:szCs w:val="21"/>
        </w:rPr>
        <w:t>Mol</w:t>
      </w:r>
      <w:proofErr w:type="spellEnd"/>
      <w:r w:rsidRPr="00755F49">
        <w:rPr>
          <w:color w:val="000000" w:themeColor="text1"/>
          <w:sz w:val="21"/>
          <w:szCs w:val="21"/>
        </w:rPr>
        <w:t xml:space="preserve"> </w:t>
      </w:r>
      <w:proofErr w:type="spellStart"/>
      <w:r w:rsidRPr="00755F49">
        <w:rPr>
          <w:color w:val="000000" w:themeColor="text1"/>
          <w:sz w:val="21"/>
          <w:szCs w:val="21"/>
        </w:rPr>
        <w:t>Neurobiol</w:t>
      </w:r>
      <w:proofErr w:type="spellEnd"/>
      <w:r w:rsidRPr="00755F49">
        <w:rPr>
          <w:color w:val="000000" w:themeColor="text1"/>
          <w:sz w:val="21"/>
          <w:szCs w:val="21"/>
        </w:rPr>
        <w:t xml:space="preserve"> 2008; 28:737-44.</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50.</w:t>
      </w:r>
      <w:r w:rsidRPr="00755F49">
        <w:rPr>
          <w:color w:val="000000" w:themeColor="text1"/>
          <w:sz w:val="21"/>
          <w:szCs w:val="21"/>
        </w:rPr>
        <w:tab/>
        <w:t xml:space="preserve">Jin T, Hu LS, Chang M, Wu J, </w:t>
      </w:r>
      <w:proofErr w:type="spellStart"/>
      <w:r w:rsidRPr="00755F49">
        <w:rPr>
          <w:color w:val="000000" w:themeColor="text1"/>
          <w:sz w:val="21"/>
          <w:szCs w:val="21"/>
        </w:rPr>
        <w:t>Winblad</w:t>
      </w:r>
      <w:proofErr w:type="spellEnd"/>
      <w:r w:rsidRPr="00755F49">
        <w:rPr>
          <w:color w:val="000000" w:themeColor="text1"/>
          <w:sz w:val="21"/>
          <w:szCs w:val="21"/>
        </w:rPr>
        <w:t xml:space="preserve"> B, Zhu J. Proteomic identification of potential protein </w:t>
      </w:r>
      <w:r w:rsidRPr="00755F49">
        <w:rPr>
          <w:color w:val="000000" w:themeColor="text1"/>
          <w:sz w:val="21"/>
          <w:szCs w:val="21"/>
        </w:rPr>
        <w:lastRenderedPageBreak/>
        <w:t xml:space="preserve">markers in cerebrospinal fluid of GBS patients. </w:t>
      </w:r>
      <w:proofErr w:type="spellStart"/>
      <w:r w:rsidRPr="00755F49">
        <w:rPr>
          <w:color w:val="000000" w:themeColor="text1"/>
          <w:sz w:val="21"/>
          <w:szCs w:val="21"/>
        </w:rPr>
        <w:t>Eur</w:t>
      </w:r>
      <w:proofErr w:type="spellEnd"/>
      <w:r w:rsidRPr="00755F49">
        <w:rPr>
          <w:color w:val="000000" w:themeColor="text1"/>
          <w:sz w:val="21"/>
          <w:szCs w:val="21"/>
        </w:rPr>
        <w:t xml:space="preserve"> J </w:t>
      </w:r>
      <w:proofErr w:type="spellStart"/>
      <w:r w:rsidRPr="00755F49">
        <w:rPr>
          <w:color w:val="000000" w:themeColor="text1"/>
          <w:sz w:val="21"/>
          <w:szCs w:val="21"/>
        </w:rPr>
        <w:t>Neurol</w:t>
      </w:r>
      <w:proofErr w:type="spellEnd"/>
      <w:r w:rsidRPr="00755F49">
        <w:rPr>
          <w:color w:val="000000" w:themeColor="text1"/>
          <w:sz w:val="21"/>
          <w:szCs w:val="21"/>
        </w:rPr>
        <w:t xml:space="preserve"> 2007</w:t>
      </w:r>
      <w:proofErr w:type="gramStart"/>
      <w:r w:rsidRPr="00755F49">
        <w:rPr>
          <w:color w:val="000000" w:themeColor="text1"/>
          <w:sz w:val="21"/>
          <w:szCs w:val="21"/>
        </w:rPr>
        <w:t>;14:563</w:t>
      </w:r>
      <w:proofErr w:type="gramEnd"/>
      <w:r w:rsidRPr="00755F49">
        <w:rPr>
          <w:color w:val="000000" w:themeColor="text1"/>
          <w:sz w:val="21"/>
          <w:szCs w:val="21"/>
        </w:rPr>
        <w:t>-8.</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51.</w:t>
      </w:r>
      <w:r w:rsidRPr="00755F49">
        <w:rPr>
          <w:color w:val="000000" w:themeColor="text1"/>
          <w:sz w:val="21"/>
          <w:szCs w:val="21"/>
        </w:rPr>
        <w:tab/>
      </w:r>
      <w:proofErr w:type="spellStart"/>
      <w:r w:rsidRPr="00755F49">
        <w:rPr>
          <w:color w:val="000000" w:themeColor="text1"/>
          <w:sz w:val="21"/>
          <w:szCs w:val="21"/>
        </w:rPr>
        <w:t>Brettschneider</w:t>
      </w:r>
      <w:proofErr w:type="spellEnd"/>
      <w:r w:rsidRPr="00755F49">
        <w:rPr>
          <w:color w:val="000000" w:themeColor="text1"/>
          <w:sz w:val="21"/>
          <w:szCs w:val="21"/>
        </w:rPr>
        <w:t xml:space="preserve"> J, </w:t>
      </w:r>
      <w:proofErr w:type="spellStart"/>
      <w:r w:rsidRPr="00755F49">
        <w:rPr>
          <w:color w:val="000000" w:themeColor="text1"/>
          <w:sz w:val="21"/>
          <w:szCs w:val="21"/>
        </w:rPr>
        <w:t>Petzold</w:t>
      </w:r>
      <w:proofErr w:type="spellEnd"/>
      <w:r w:rsidRPr="00755F49">
        <w:rPr>
          <w:color w:val="000000" w:themeColor="text1"/>
          <w:sz w:val="21"/>
          <w:szCs w:val="21"/>
        </w:rPr>
        <w:t xml:space="preserve"> A, </w:t>
      </w:r>
      <w:proofErr w:type="spellStart"/>
      <w:r w:rsidRPr="00755F49">
        <w:rPr>
          <w:color w:val="000000" w:themeColor="text1"/>
          <w:sz w:val="21"/>
          <w:szCs w:val="21"/>
        </w:rPr>
        <w:t>Süssmuth</w:t>
      </w:r>
      <w:proofErr w:type="spellEnd"/>
      <w:r w:rsidRPr="00755F49">
        <w:rPr>
          <w:color w:val="000000" w:themeColor="text1"/>
          <w:sz w:val="21"/>
          <w:szCs w:val="21"/>
        </w:rPr>
        <w:t xml:space="preserve"> S, </w:t>
      </w:r>
      <w:proofErr w:type="spellStart"/>
      <w:r w:rsidRPr="00755F49">
        <w:rPr>
          <w:color w:val="000000" w:themeColor="text1"/>
          <w:sz w:val="21"/>
          <w:szCs w:val="21"/>
        </w:rPr>
        <w:t>Tumani</w:t>
      </w:r>
      <w:proofErr w:type="spellEnd"/>
      <w:r w:rsidRPr="00755F49">
        <w:rPr>
          <w:color w:val="000000" w:themeColor="text1"/>
          <w:sz w:val="21"/>
          <w:szCs w:val="21"/>
        </w:rPr>
        <w:t xml:space="preserve"> H. Cerebrospinal fluid biomarkers in </w:t>
      </w:r>
      <w:proofErr w:type="spellStart"/>
      <w:r w:rsidRPr="00755F49">
        <w:rPr>
          <w:color w:val="000000" w:themeColor="text1"/>
          <w:sz w:val="21"/>
          <w:szCs w:val="21"/>
        </w:rPr>
        <w:t>Guillain-Barré</w:t>
      </w:r>
      <w:proofErr w:type="spellEnd"/>
      <w:r w:rsidRPr="00755F49">
        <w:rPr>
          <w:color w:val="000000" w:themeColor="text1"/>
          <w:sz w:val="21"/>
          <w:szCs w:val="21"/>
        </w:rPr>
        <w:t xml:space="preserve"> syndrome--where do we stand? J </w:t>
      </w:r>
      <w:proofErr w:type="spellStart"/>
      <w:r w:rsidRPr="00755F49">
        <w:rPr>
          <w:color w:val="000000" w:themeColor="text1"/>
          <w:sz w:val="21"/>
          <w:szCs w:val="21"/>
        </w:rPr>
        <w:t>Neurol</w:t>
      </w:r>
      <w:proofErr w:type="spellEnd"/>
      <w:r w:rsidRPr="00755F49">
        <w:rPr>
          <w:color w:val="000000" w:themeColor="text1"/>
          <w:sz w:val="21"/>
          <w:szCs w:val="21"/>
        </w:rPr>
        <w:t xml:space="preserve"> 2009; 256: 3-12.</w:t>
      </w:r>
    </w:p>
    <w:p w:rsidR="007C5476" w:rsidRPr="00755F49" w:rsidRDefault="007C5476" w:rsidP="00755F49">
      <w:pPr>
        <w:tabs>
          <w:tab w:val="left" w:pos="432"/>
        </w:tabs>
        <w:ind w:left="432" w:hanging="432"/>
        <w:jc w:val="both"/>
        <w:rPr>
          <w:rStyle w:val="element-citation"/>
          <w:color w:val="000000" w:themeColor="text1"/>
          <w:sz w:val="21"/>
          <w:szCs w:val="21"/>
        </w:rPr>
      </w:pPr>
      <w:r w:rsidRPr="00755F49">
        <w:rPr>
          <w:color w:val="000000" w:themeColor="text1"/>
          <w:sz w:val="21"/>
          <w:szCs w:val="21"/>
        </w:rPr>
        <w:t>52.</w:t>
      </w:r>
      <w:r w:rsidRPr="00755F49">
        <w:rPr>
          <w:color w:val="000000" w:themeColor="text1"/>
          <w:sz w:val="21"/>
          <w:szCs w:val="21"/>
        </w:rPr>
        <w:tab/>
      </w:r>
      <w:r w:rsidRPr="00755F49">
        <w:rPr>
          <w:rStyle w:val="element-citation"/>
          <w:color w:val="000000" w:themeColor="text1"/>
          <w:sz w:val="21"/>
          <w:szCs w:val="21"/>
        </w:rPr>
        <w:t xml:space="preserve">Hung PL, Chang WN, Huang LT, Huang SC, Chang YC, Chang CJ, et al. </w:t>
      </w:r>
      <w:proofErr w:type="gramStart"/>
      <w:r w:rsidRPr="00755F49">
        <w:rPr>
          <w:rStyle w:val="element-citation"/>
          <w:color w:val="000000" w:themeColor="text1"/>
          <w:sz w:val="21"/>
          <w:szCs w:val="21"/>
        </w:rPr>
        <w:t xml:space="preserve">A clinical and </w:t>
      </w:r>
      <w:proofErr w:type="spellStart"/>
      <w:r w:rsidRPr="00755F49">
        <w:rPr>
          <w:rStyle w:val="element-citation"/>
          <w:color w:val="000000" w:themeColor="text1"/>
          <w:sz w:val="21"/>
          <w:szCs w:val="21"/>
        </w:rPr>
        <w:t>electrophysiologic</w:t>
      </w:r>
      <w:proofErr w:type="spellEnd"/>
      <w:r w:rsidRPr="00755F49">
        <w:rPr>
          <w:rStyle w:val="element-citation"/>
          <w:color w:val="000000" w:themeColor="text1"/>
          <w:sz w:val="21"/>
          <w:szCs w:val="21"/>
        </w:rPr>
        <w:t xml:space="preserve"> survey of childhood Guillain-Barre syndrome.</w:t>
      </w:r>
      <w:proofErr w:type="gramEnd"/>
      <w:r w:rsidRPr="00755F49">
        <w:rPr>
          <w:rStyle w:val="element-citation"/>
          <w:color w:val="000000" w:themeColor="text1"/>
          <w:sz w:val="21"/>
          <w:szCs w:val="21"/>
        </w:rPr>
        <w:t xml:space="preserve"> </w:t>
      </w:r>
      <w:proofErr w:type="spellStart"/>
      <w:r w:rsidRPr="00755F49">
        <w:rPr>
          <w:rStyle w:val="ref-journal1"/>
          <w:i w:val="0"/>
          <w:color w:val="000000" w:themeColor="text1"/>
          <w:sz w:val="21"/>
          <w:szCs w:val="21"/>
        </w:rPr>
        <w:t>Pediatr</w:t>
      </w:r>
      <w:proofErr w:type="spellEnd"/>
      <w:r w:rsidRPr="00755F49">
        <w:rPr>
          <w:rStyle w:val="ref-journal1"/>
          <w:i w:val="0"/>
          <w:color w:val="000000" w:themeColor="text1"/>
          <w:sz w:val="21"/>
          <w:szCs w:val="21"/>
        </w:rPr>
        <w:t xml:space="preserve"> </w:t>
      </w:r>
      <w:proofErr w:type="spellStart"/>
      <w:r w:rsidRPr="00755F49">
        <w:rPr>
          <w:rStyle w:val="ref-journal1"/>
          <w:i w:val="0"/>
          <w:color w:val="000000" w:themeColor="text1"/>
          <w:sz w:val="21"/>
          <w:szCs w:val="21"/>
        </w:rPr>
        <w:t>Neurol</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 xml:space="preserve">2004; </w:t>
      </w:r>
      <w:r w:rsidRPr="00755F49">
        <w:rPr>
          <w:rStyle w:val="ref-vol"/>
          <w:color w:val="000000" w:themeColor="text1"/>
          <w:sz w:val="21"/>
          <w:szCs w:val="21"/>
        </w:rPr>
        <w:t>30</w:t>
      </w:r>
      <w:r w:rsidRPr="00755F49">
        <w:rPr>
          <w:rStyle w:val="element-citation"/>
          <w:color w:val="000000" w:themeColor="text1"/>
          <w:sz w:val="21"/>
          <w:szCs w:val="21"/>
        </w:rPr>
        <w:t>:86–91.</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53.</w:t>
      </w:r>
      <w:r w:rsidRPr="00755F49">
        <w:rPr>
          <w:color w:val="000000" w:themeColor="text1"/>
          <w:sz w:val="21"/>
          <w:szCs w:val="21"/>
        </w:rPr>
        <w:tab/>
      </w:r>
      <w:proofErr w:type="spellStart"/>
      <w:r w:rsidRPr="00755F49">
        <w:rPr>
          <w:rStyle w:val="element-citation"/>
          <w:color w:val="000000" w:themeColor="text1"/>
          <w:sz w:val="21"/>
          <w:szCs w:val="21"/>
        </w:rPr>
        <w:t>Koul</w:t>
      </w:r>
      <w:proofErr w:type="spellEnd"/>
      <w:r w:rsidRPr="00755F49">
        <w:rPr>
          <w:rStyle w:val="element-citation"/>
          <w:color w:val="000000" w:themeColor="text1"/>
          <w:sz w:val="21"/>
          <w:szCs w:val="21"/>
        </w:rPr>
        <w:t xml:space="preserve"> R, </w:t>
      </w:r>
      <w:proofErr w:type="spellStart"/>
      <w:r w:rsidRPr="00755F49">
        <w:rPr>
          <w:rStyle w:val="element-citation"/>
          <w:color w:val="000000" w:themeColor="text1"/>
          <w:sz w:val="21"/>
          <w:szCs w:val="21"/>
        </w:rPr>
        <w:t>Chacko</w:t>
      </w:r>
      <w:proofErr w:type="spellEnd"/>
      <w:r w:rsidRPr="00755F49">
        <w:rPr>
          <w:rStyle w:val="element-citation"/>
          <w:color w:val="000000" w:themeColor="text1"/>
          <w:sz w:val="21"/>
          <w:szCs w:val="21"/>
        </w:rPr>
        <w:t xml:space="preserve"> A, Ahmed R, Varghese T, </w:t>
      </w:r>
      <w:proofErr w:type="spellStart"/>
      <w:r w:rsidRPr="00755F49">
        <w:rPr>
          <w:rStyle w:val="element-citation"/>
          <w:color w:val="000000" w:themeColor="text1"/>
          <w:sz w:val="21"/>
          <w:szCs w:val="21"/>
        </w:rPr>
        <w:t>Javed</w:t>
      </w:r>
      <w:proofErr w:type="spellEnd"/>
      <w:r w:rsidRPr="00755F49">
        <w:rPr>
          <w:rStyle w:val="element-citation"/>
          <w:color w:val="000000" w:themeColor="text1"/>
          <w:sz w:val="21"/>
          <w:szCs w:val="21"/>
        </w:rPr>
        <w:t xml:space="preserve"> H, Al-</w:t>
      </w:r>
      <w:proofErr w:type="spellStart"/>
      <w:r w:rsidRPr="00755F49">
        <w:rPr>
          <w:rStyle w:val="element-citation"/>
          <w:color w:val="000000" w:themeColor="text1"/>
          <w:sz w:val="21"/>
          <w:szCs w:val="21"/>
        </w:rPr>
        <w:t>Lamki</w:t>
      </w:r>
      <w:proofErr w:type="spellEnd"/>
      <w:r w:rsidRPr="00755F49">
        <w:rPr>
          <w:rStyle w:val="element-citation"/>
          <w:color w:val="000000" w:themeColor="text1"/>
          <w:sz w:val="21"/>
          <w:szCs w:val="21"/>
        </w:rPr>
        <w:t xml:space="preserve"> Z. Ten-year prospective study (clinical spectrum) of childhood Guillain-Barre syndrome in the Arabian peninsula: Comparison of outcome in patients in the pre- and post-intravenous immunoglobulin eras. </w:t>
      </w:r>
      <w:r w:rsidRPr="00755F49">
        <w:rPr>
          <w:rStyle w:val="ref-journal1"/>
          <w:i w:val="0"/>
          <w:color w:val="000000" w:themeColor="text1"/>
          <w:sz w:val="21"/>
          <w:szCs w:val="21"/>
        </w:rPr>
        <w:t xml:space="preserve">J Child </w:t>
      </w:r>
      <w:proofErr w:type="spellStart"/>
      <w:r w:rsidRPr="00755F49">
        <w:rPr>
          <w:rStyle w:val="ref-journal1"/>
          <w:i w:val="0"/>
          <w:color w:val="000000" w:themeColor="text1"/>
          <w:sz w:val="21"/>
          <w:szCs w:val="21"/>
        </w:rPr>
        <w:t>Neurol</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 xml:space="preserve">2003; </w:t>
      </w:r>
      <w:r w:rsidRPr="00755F49">
        <w:rPr>
          <w:rStyle w:val="ref-vol"/>
          <w:color w:val="000000" w:themeColor="text1"/>
          <w:sz w:val="21"/>
          <w:szCs w:val="21"/>
        </w:rPr>
        <w:t>18</w:t>
      </w:r>
      <w:r w:rsidRPr="00755F49">
        <w:rPr>
          <w:rStyle w:val="element-citation"/>
          <w:color w:val="000000" w:themeColor="text1"/>
          <w:sz w:val="21"/>
          <w:szCs w:val="21"/>
        </w:rPr>
        <w:t>:767–71.</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54.</w:t>
      </w:r>
      <w:r w:rsidRPr="00755F49">
        <w:rPr>
          <w:color w:val="000000" w:themeColor="text1"/>
          <w:sz w:val="21"/>
          <w:szCs w:val="21"/>
        </w:rPr>
        <w:tab/>
      </w:r>
      <w:proofErr w:type="spellStart"/>
      <w:r w:rsidRPr="00755F49">
        <w:rPr>
          <w:rStyle w:val="element-citation"/>
          <w:color w:val="000000" w:themeColor="text1"/>
          <w:sz w:val="21"/>
          <w:szCs w:val="21"/>
        </w:rPr>
        <w:t>Ammache</w:t>
      </w:r>
      <w:proofErr w:type="spellEnd"/>
      <w:r w:rsidRPr="00755F49">
        <w:rPr>
          <w:rStyle w:val="element-citation"/>
          <w:color w:val="000000" w:themeColor="text1"/>
          <w:sz w:val="21"/>
          <w:szCs w:val="21"/>
        </w:rPr>
        <w:t xml:space="preserve"> Z, </w:t>
      </w:r>
      <w:proofErr w:type="spellStart"/>
      <w:r w:rsidRPr="00755F49">
        <w:rPr>
          <w:rStyle w:val="element-citation"/>
          <w:color w:val="000000" w:themeColor="text1"/>
          <w:sz w:val="21"/>
          <w:szCs w:val="21"/>
        </w:rPr>
        <w:t>Afifi</w:t>
      </w:r>
      <w:proofErr w:type="spellEnd"/>
      <w:r w:rsidRPr="00755F49">
        <w:rPr>
          <w:rStyle w:val="element-citation"/>
          <w:color w:val="000000" w:themeColor="text1"/>
          <w:sz w:val="21"/>
          <w:szCs w:val="21"/>
        </w:rPr>
        <w:t xml:space="preserve"> AK, Brown CK, Kimura J. Childhood Guillain-Barre syndrome: Clinical and </w:t>
      </w:r>
      <w:proofErr w:type="spellStart"/>
      <w:r w:rsidRPr="00755F49">
        <w:rPr>
          <w:rStyle w:val="element-citation"/>
          <w:color w:val="000000" w:themeColor="text1"/>
          <w:sz w:val="21"/>
          <w:szCs w:val="21"/>
        </w:rPr>
        <w:t>electrophysiologic</w:t>
      </w:r>
      <w:proofErr w:type="spellEnd"/>
      <w:r w:rsidRPr="00755F49">
        <w:rPr>
          <w:rStyle w:val="element-citation"/>
          <w:color w:val="000000" w:themeColor="text1"/>
          <w:sz w:val="21"/>
          <w:szCs w:val="21"/>
        </w:rPr>
        <w:t xml:space="preserve"> features predictive of outcome. </w:t>
      </w:r>
      <w:r w:rsidRPr="00755F49">
        <w:rPr>
          <w:rStyle w:val="ref-journal1"/>
          <w:i w:val="0"/>
          <w:color w:val="000000" w:themeColor="text1"/>
          <w:sz w:val="21"/>
          <w:szCs w:val="21"/>
        </w:rPr>
        <w:t xml:space="preserve">J Child </w:t>
      </w:r>
      <w:proofErr w:type="spellStart"/>
      <w:r w:rsidRPr="00755F49">
        <w:rPr>
          <w:rStyle w:val="ref-journal1"/>
          <w:i w:val="0"/>
          <w:color w:val="000000" w:themeColor="text1"/>
          <w:sz w:val="21"/>
          <w:szCs w:val="21"/>
        </w:rPr>
        <w:t>Neurol</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2001</w:t>
      </w:r>
      <w:proofErr w:type="gramStart"/>
      <w:r w:rsidRPr="00755F49">
        <w:rPr>
          <w:rStyle w:val="element-citation"/>
          <w:color w:val="000000" w:themeColor="text1"/>
          <w:sz w:val="21"/>
          <w:szCs w:val="21"/>
        </w:rPr>
        <w:t>;</w:t>
      </w:r>
      <w:r w:rsidRPr="00755F49">
        <w:rPr>
          <w:rStyle w:val="ref-vol"/>
          <w:color w:val="000000" w:themeColor="text1"/>
          <w:sz w:val="21"/>
          <w:szCs w:val="21"/>
        </w:rPr>
        <w:t>16</w:t>
      </w:r>
      <w:r w:rsidRPr="00755F49">
        <w:rPr>
          <w:rStyle w:val="element-citation"/>
          <w:color w:val="000000" w:themeColor="text1"/>
          <w:sz w:val="21"/>
          <w:szCs w:val="21"/>
        </w:rPr>
        <w:t>:477</w:t>
      </w:r>
      <w:proofErr w:type="gramEnd"/>
      <w:r w:rsidRPr="00755F49">
        <w:rPr>
          <w:rStyle w:val="element-citation"/>
          <w:color w:val="000000" w:themeColor="text1"/>
          <w:sz w:val="21"/>
          <w:szCs w:val="21"/>
        </w:rPr>
        <w:t>–83.</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55.</w:t>
      </w:r>
      <w:r w:rsidRPr="00755F49">
        <w:rPr>
          <w:color w:val="000000" w:themeColor="text1"/>
          <w:sz w:val="21"/>
          <w:szCs w:val="21"/>
        </w:rPr>
        <w:tab/>
      </w:r>
      <w:proofErr w:type="spellStart"/>
      <w:r w:rsidRPr="00755F49">
        <w:rPr>
          <w:rStyle w:val="element-citation"/>
          <w:color w:val="000000" w:themeColor="text1"/>
          <w:sz w:val="21"/>
          <w:szCs w:val="21"/>
        </w:rPr>
        <w:t>Winer</w:t>
      </w:r>
      <w:proofErr w:type="spellEnd"/>
      <w:r w:rsidRPr="00755F49">
        <w:rPr>
          <w:rStyle w:val="element-citation"/>
          <w:color w:val="000000" w:themeColor="text1"/>
          <w:sz w:val="21"/>
          <w:szCs w:val="21"/>
        </w:rPr>
        <w:t xml:space="preserve"> JB. </w:t>
      </w:r>
      <w:proofErr w:type="gramStart"/>
      <w:r w:rsidRPr="00755F49">
        <w:rPr>
          <w:rStyle w:val="element-citation"/>
          <w:color w:val="000000" w:themeColor="text1"/>
          <w:sz w:val="21"/>
          <w:szCs w:val="21"/>
        </w:rPr>
        <w:t>Guillain-Barre syndrome.</w:t>
      </w:r>
      <w:proofErr w:type="gramEnd"/>
      <w:r w:rsidRPr="00755F49">
        <w:rPr>
          <w:rStyle w:val="element-citation"/>
          <w:color w:val="000000" w:themeColor="text1"/>
          <w:sz w:val="21"/>
          <w:szCs w:val="21"/>
        </w:rPr>
        <w:t xml:space="preserve"> </w:t>
      </w:r>
      <w:r w:rsidRPr="00755F49">
        <w:rPr>
          <w:rStyle w:val="ref-journal1"/>
          <w:i w:val="0"/>
          <w:color w:val="000000" w:themeColor="text1"/>
          <w:sz w:val="21"/>
          <w:szCs w:val="21"/>
        </w:rPr>
        <w:t xml:space="preserve">J </w:t>
      </w:r>
      <w:proofErr w:type="spellStart"/>
      <w:r w:rsidRPr="00755F49">
        <w:rPr>
          <w:rStyle w:val="ref-journal1"/>
          <w:i w:val="0"/>
          <w:color w:val="000000" w:themeColor="text1"/>
          <w:sz w:val="21"/>
          <w:szCs w:val="21"/>
        </w:rPr>
        <w:t>Clin</w:t>
      </w:r>
      <w:proofErr w:type="spellEnd"/>
      <w:r w:rsidRPr="00755F49">
        <w:rPr>
          <w:rStyle w:val="ref-journal1"/>
          <w:i w:val="0"/>
          <w:color w:val="000000" w:themeColor="text1"/>
          <w:sz w:val="21"/>
          <w:szCs w:val="21"/>
        </w:rPr>
        <w:t xml:space="preserve"> </w:t>
      </w:r>
      <w:proofErr w:type="spellStart"/>
      <w:r w:rsidRPr="00755F49">
        <w:rPr>
          <w:rStyle w:val="ref-journal1"/>
          <w:i w:val="0"/>
          <w:color w:val="000000" w:themeColor="text1"/>
          <w:sz w:val="21"/>
          <w:szCs w:val="21"/>
        </w:rPr>
        <w:t>Pathol</w:t>
      </w:r>
      <w:proofErr w:type="spellEnd"/>
      <w:r w:rsidRPr="00755F49">
        <w:rPr>
          <w:rStyle w:val="ref-journal1"/>
          <w:i w:val="0"/>
          <w:color w:val="000000" w:themeColor="text1"/>
          <w:sz w:val="21"/>
          <w:szCs w:val="21"/>
        </w:rPr>
        <w:t xml:space="preserve"> </w:t>
      </w:r>
      <w:proofErr w:type="spellStart"/>
      <w:r w:rsidRPr="00755F49">
        <w:rPr>
          <w:rStyle w:val="ref-journal1"/>
          <w:i w:val="0"/>
          <w:color w:val="000000" w:themeColor="text1"/>
          <w:sz w:val="21"/>
          <w:szCs w:val="21"/>
        </w:rPr>
        <w:t>Mol</w:t>
      </w:r>
      <w:proofErr w:type="spellEnd"/>
      <w:r w:rsidRPr="00755F49">
        <w:rPr>
          <w:rStyle w:val="ref-journal1"/>
          <w:i w:val="0"/>
          <w:color w:val="000000" w:themeColor="text1"/>
          <w:sz w:val="21"/>
          <w:szCs w:val="21"/>
        </w:rPr>
        <w:t xml:space="preserve"> </w:t>
      </w:r>
      <w:proofErr w:type="spellStart"/>
      <w:r w:rsidRPr="00755F49">
        <w:rPr>
          <w:rStyle w:val="ref-journal1"/>
          <w:i w:val="0"/>
          <w:color w:val="000000" w:themeColor="text1"/>
          <w:sz w:val="21"/>
          <w:szCs w:val="21"/>
        </w:rPr>
        <w:t>Pathol</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2001</w:t>
      </w:r>
      <w:proofErr w:type="gramStart"/>
      <w:r w:rsidRPr="00755F49">
        <w:rPr>
          <w:rStyle w:val="element-citation"/>
          <w:color w:val="000000" w:themeColor="text1"/>
          <w:sz w:val="21"/>
          <w:szCs w:val="21"/>
        </w:rPr>
        <w:t>;</w:t>
      </w:r>
      <w:r w:rsidRPr="00755F49">
        <w:rPr>
          <w:rStyle w:val="ref-vol"/>
          <w:color w:val="000000" w:themeColor="text1"/>
          <w:sz w:val="21"/>
          <w:szCs w:val="21"/>
        </w:rPr>
        <w:t>54</w:t>
      </w:r>
      <w:r w:rsidRPr="00755F49">
        <w:rPr>
          <w:rStyle w:val="element-citation"/>
          <w:color w:val="000000" w:themeColor="text1"/>
          <w:sz w:val="21"/>
          <w:szCs w:val="21"/>
        </w:rPr>
        <w:t>:381</w:t>
      </w:r>
      <w:proofErr w:type="gramEnd"/>
      <w:r w:rsidRPr="00755F49">
        <w:rPr>
          <w:rStyle w:val="element-citation"/>
          <w:color w:val="000000" w:themeColor="text1"/>
          <w:sz w:val="21"/>
          <w:szCs w:val="21"/>
        </w:rPr>
        <w:t>–5.</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56.</w:t>
      </w:r>
      <w:r w:rsidRPr="00755F49">
        <w:rPr>
          <w:color w:val="000000" w:themeColor="text1"/>
          <w:sz w:val="21"/>
          <w:szCs w:val="21"/>
        </w:rPr>
        <w:tab/>
      </w:r>
      <w:r w:rsidRPr="00755F49">
        <w:rPr>
          <w:rStyle w:val="element-citation"/>
          <w:color w:val="000000" w:themeColor="text1"/>
          <w:sz w:val="21"/>
          <w:szCs w:val="21"/>
        </w:rPr>
        <w:t>Vander-</w:t>
      </w:r>
      <w:proofErr w:type="spellStart"/>
      <w:r w:rsidRPr="00755F49">
        <w:rPr>
          <w:rStyle w:val="element-citation"/>
          <w:color w:val="000000" w:themeColor="text1"/>
          <w:sz w:val="21"/>
          <w:szCs w:val="21"/>
        </w:rPr>
        <w:t>Meche</w:t>
      </w:r>
      <w:proofErr w:type="spellEnd"/>
      <w:r w:rsidRPr="00755F49">
        <w:rPr>
          <w:rStyle w:val="element-citation"/>
          <w:color w:val="000000" w:themeColor="text1"/>
          <w:sz w:val="21"/>
          <w:szCs w:val="21"/>
        </w:rPr>
        <w:t xml:space="preserve"> FG, Schmitz PI. </w:t>
      </w:r>
      <w:proofErr w:type="gramStart"/>
      <w:r w:rsidRPr="00755F49">
        <w:rPr>
          <w:rStyle w:val="element-citation"/>
          <w:color w:val="000000" w:themeColor="text1"/>
          <w:sz w:val="21"/>
          <w:szCs w:val="21"/>
        </w:rPr>
        <w:t>The Dutch Guillain-Barre syndrome study group.</w:t>
      </w:r>
      <w:proofErr w:type="gramEnd"/>
      <w:r w:rsidRPr="00755F49">
        <w:rPr>
          <w:rStyle w:val="element-citation"/>
          <w:color w:val="000000" w:themeColor="text1"/>
          <w:sz w:val="21"/>
          <w:szCs w:val="21"/>
        </w:rPr>
        <w:t xml:space="preserve"> A </w:t>
      </w:r>
      <w:proofErr w:type="spellStart"/>
      <w:r w:rsidRPr="00755F49">
        <w:rPr>
          <w:rStyle w:val="element-citation"/>
          <w:color w:val="000000" w:themeColor="text1"/>
          <w:sz w:val="21"/>
          <w:szCs w:val="21"/>
        </w:rPr>
        <w:t>randomised</w:t>
      </w:r>
      <w:proofErr w:type="spellEnd"/>
      <w:r w:rsidRPr="00755F49">
        <w:rPr>
          <w:rStyle w:val="element-citation"/>
          <w:color w:val="000000" w:themeColor="text1"/>
          <w:sz w:val="21"/>
          <w:szCs w:val="21"/>
        </w:rPr>
        <w:t xml:space="preserve"> trial comparing intravenous </w:t>
      </w:r>
      <w:proofErr w:type="spellStart"/>
      <w:r w:rsidRPr="00755F49">
        <w:rPr>
          <w:rStyle w:val="element-citation"/>
          <w:color w:val="000000" w:themeColor="text1"/>
          <w:sz w:val="21"/>
          <w:szCs w:val="21"/>
        </w:rPr>
        <w:t>immunoglobulins</w:t>
      </w:r>
      <w:proofErr w:type="spellEnd"/>
      <w:r w:rsidRPr="00755F49">
        <w:rPr>
          <w:rStyle w:val="element-citation"/>
          <w:color w:val="000000" w:themeColor="text1"/>
          <w:sz w:val="21"/>
          <w:szCs w:val="21"/>
        </w:rPr>
        <w:t xml:space="preserve"> and plasma exchange in Guillain-Barre syndrome. </w:t>
      </w:r>
      <w:r w:rsidRPr="00755F49">
        <w:rPr>
          <w:rStyle w:val="ref-journal1"/>
          <w:i w:val="0"/>
          <w:color w:val="000000" w:themeColor="text1"/>
          <w:sz w:val="21"/>
          <w:szCs w:val="21"/>
        </w:rPr>
        <w:t xml:space="preserve">N </w:t>
      </w:r>
      <w:proofErr w:type="spellStart"/>
      <w:r w:rsidRPr="00755F49">
        <w:rPr>
          <w:rStyle w:val="ref-journal1"/>
          <w:i w:val="0"/>
          <w:color w:val="000000" w:themeColor="text1"/>
          <w:sz w:val="21"/>
          <w:szCs w:val="21"/>
        </w:rPr>
        <w:t>Engl</w:t>
      </w:r>
      <w:proofErr w:type="spellEnd"/>
      <w:r w:rsidRPr="00755F49">
        <w:rPr>
          <w:rStyle w:val="ref-journal1"/>
          <w:i w:val="0"/>
          <w:color w:val="000000" w:themeColor="text1"/>
          <w:sz w:val="21"/>
          <w:szCs w:val="21"/>
        </w:rPr>
        <w:t xml:space="preserve"> J Med </w:t>
      </w:r>
      <w:r w:rsidRPr="00755F49">
        <w:rPr>
          <w:rStyle w:val="element-citation"/>
          <w:color w:val="000000" w:themeColor="text1"/>
          <w:sz w:val="21"/>
          <w:szCs w:val="21"/>
        </w:rPr>
        <w:t>1992</w:t>
      </w:r>
      <w:proofErr w:type="gramStart"/>
      <w:r w:rsidRPr="00755F49">
        <w:rPr>
          <w:rStyle w:val="element-citation"/>
          <w:color w:val="000000" w:themeColor="text1"/>
          <w:sz w:val="21"/>
          <w:szCs w:val="21"/>
        </w:rPr>
        <w:t>;</w:t>
      </w:r>
      <w:r w:rsidRPr="00755F49">
        <w:rPr>
          <w:rStyle w:val="ref-vol"/>
          <w:color w:val="000000" w:themeColor="text1"/>
          <w:sz w:val="21"/>
          <w:szCs w:val="21"/>
        </w:rPr>
        <w:t>326</w:t>
      </w:r>
      <w:r w:rsidRPr="00755F49">
        <w:rPr>
          <w:rStyle w:val="element-citation"/>
          <w:color w:val="000000" w:themeColor="text1"/>
          <w:sz w:val="21"/>
          <w:szCs w:val="21"/>
        </w:rPr>
        <w:t>:1123</w:t>
      </w:r>
      <w:proofErr w:type="gramEnd"/>
      <w:r w:rsidRPr="00755F49">
        <w:rPr>
          <w:rStyle w:val="element-citation"/>
          <w:color w:val="000000" w:themeColor="text1"/>
          <w:sz w:val="21"/>
          <w:szCs w:val="21"/>
        </w:rPr>
        <w:t>–9.</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57.</w:t>
      </w:r>
      <w:r w:rsidRPr="00755F49">
        <w:rPr>
          <w:color w:val="000000" w:themeColor="text1"/>
          <w:sz w:val="21"/>
          <w:szCs w:val="21"/>
        </w:rPr>
        <w:tab/>
      </w:r>
      <w:r w:rsidRPr="00755F49">
        <w:rPr>
          <w:rStyle w:val="element-citation"/>
          <w:color w:val="000000" w:themeColor="text1"/>
          <w:sz w:val="21"/>
          <w:szCs w:val="21"/>
        </w:rPr>
        <w:t xml:space="preserve">Castro LH, </w:t>
      </w:r>
      <w:proofErr w:type="spellStart"/>
      <w:r w:rsidRPr="00755F49">
        <w:rPr>
          <w:rStyle w:val="element-citation"/>
          <w:color w:val="000000" w:themeColor="text1"/>
          <w:sz w:val="21"/>
          <w:szCs w:val="21"/>
        </w:rPr>
        <w:t>Ropper</w:t>
      </w:r>
      <w:proofErr w:type="spellEnd"/>
      <w:r w:rsidRPr="00755F49">
        <w:rPr>
          <w:rStyle w:val="element-citation"/>
          <w:color w:val="000000" w:themeColor="text1"/>
          <w:sz w:val="21"/>
          <w:szCs w:val="21"/>
        </w:rPr>
        <w:t xml:space="preserve"> AH. Human immunoglobulin infusion in Guillain-Barre syndrome: Worsening during and after treatment. </w:t>
      </w:r>
      <w:r w:rsidRPr="00755F49">
        <w:rPr>
          <w:rStyle w:val="ref-journal1"/>
          <w:i w:val="0"/>
          <w:color w:val="000000" w:themeColor="text1"/>
          <w:sz w:val="21"/>
          <w:szCs w:val="21"/>
        </w:rPr>
        <w:t xml:space="preserve">Neurology </w:t>
      </w:r>
      <w:r w:rsidRPr="00755F49">
        <w:rPr>
          <w:rStyle w:val="element-citation"/>
          <w:color w:val="000000" w:themeColor="text1"/>
          <w:sz w:val="21"/>
          <w:szCs w:val="21"/>
        </w:rPr>
        <w:t>1993</w:t>
      </w:r>
      <w:proofErr w:type="gramStart"/>
      <w:r w:rsidRPr="00755F49">
        <w:rPr>
          <w:rStyle w:val="element-citation"/>
          <w:color w:val="000000" w:themeColor="text1"/>
          <w:sz w:val="21"/>
          <w:szCs w:val="21"/>
        </w:rPr>
        <w:t>;</w:t>
      </w:r>
      <w:r w:rsidRPr="00755F49">
        <w:rPr>
          <w:rStyle w:val="ref-vol"/>
          <w:color w:val="000000" w:themeColor="text1"/>
          <w:sz w:val="21"/>
          <w:szCs w:val="21"/>
        </w:rPr>
        <w:t>43</w:t>
      </w:r>
      <w:r w:rsidRPr="00755F49">
        <w:rPr>
          <w:rStyle w:val="element-citation"/>
          <w:color w:val="000000" w:themeColor="text1"/>
          <w:sz w:val="21"/>
          <w:szCs w:val="21"/>
        </w:rPr>
        <w:t>:1034</w:t>
      </w:r>
      <w:proofErr w:type="gramEnd"/>
      <w:r w:rsidRPr="00755F49">
        <w:rPr>
          <w:rStyle w:val="element-citation"/>
          <w:color w:val="000000" w:themeColor="text1"/>
          <w:sz w:val="21"/>
          <w:szCs w:val="21"/>
        </w:rPr>
        <w:t>–6.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58.</w:t>
      </w:r>
      <w:r w:rsidRPr="00755F49">
        <w:rPr>
          <w:color w:val="000000" w:themeColor="text1"/>
          <w:sz w:val="21"/>
          <w:szCs w:val="21"/>
        </w:rPr>
        <w:tab/>
      </w:r>
      <w:proofErr w:type="spellStart"/>
      <w:r w:rsidRPr="00755F49">
        <w:rPr>
          <w:rStyle w:val="element-citation"/>
          <w:color w:val="000000" w:themeColor="text1"/>
          <w:sz w:val="21"/>
          <w:szCs w:val="21"/>
        </w:rPr>
        <w:t>Feasby</w:t>
      </w:r>
      <w:proofErr w:type="spellEnd"/>
      <w:r w:rsidRPr="00755F49">
        <w:rPr>
          <w:rStyle w:val="element-citation"/>
          <w:color w:val="000000" w:themeColor="text1"/>
          <w:sz w:val="21"/>
          <w:szCs w:val="21"/>
        </w:rPr>
        <w:t xml:space="preserve"> TE, Gilbert JJ, Brown WF, Bolton CF, Hahn AF, </w:t>
      </w:r>
      <w:proofErr w:type="spellStart"/>
      <w:r w:rsidRPr="00755F49">
        <w:rPr>
          <w:rStyle w:val="element-citation"/>
          <w:color w:val="000000" w:themeColor="text1"/>
          <w:sz w:val="21"/>
          <w:szCs w:val="21"/>
        </w:rPr>
        <w:t>Koopman</w:t>
      </w:r>
      <w:proofErr w:type="spellEnd"/>
      <w:r w:rsidRPr="00755F49">
        <w:rPr>
          <w:rStyle w:val="element-citation"/>
          <w:color w:val="000000" w:themeColor="text1"/>
          <w:sz w:val="21"/>
          <w:szCs w:val="21"/>
        </w:rPr>
        <w:t xml:space="preserve"> WF, et al. </w:t>
      </w:r>
      <w:proofErr w:type="gramStart"/>
      <w:r w:rsidRPr="00755F49">
        <w:rPr>
          <w:rStyle w:val="element-citation"/>
          <w:color w:val="000000" w:themeColor="text1"/>
          <w:sz w:val="21"/>
          <w:szCs w:val="21"/>
        </w:rPr>
        <w:t>An acute axonal form of Guillain-Barre polyneuropathy.</w:t>
      </w:r>
      <w:proofErr w:type="gramEnd"/>
      <w:r w:rsidRPr="00755F49">
        <w:rPr>
          <w:rStyle w:val="element-citation"/>
          <w:color w:val="000000" w:themeColor="text1"/>
          <w:sz w:val="21"/>
          <w:szCs w:val="21"/>
        </w:rPr>
        <w:t xml:space="preserve"> </w:t>
      </w:r>
      <w:r w:rsidRPr="00755F49">
        <w:rPr>
          <w:rStyle w:val="ref-journal1"/>
          <w:i w:val="0"/>
          <w:color w:val="000000" w:themeColor="text1"/>
          <w:sz w:val="21"/>
          <w:szCs w:val="21"/>
        </w:rPr>
        <w:t xml:space="preserve">Brain </w:t>
      </w:r>
      <w:r w:rsidRPr="00755F49">
        <w:rPr>
          <w:rStyle w:val="element-citation"/>
          <w:color w:val="000000" w:themeColor="text1"/>
          <w:sz w:val="21"/>
          <w:szCs w:val="21"/>
        </w:rPr>
        <w:t>1986</w:t>
      </w:r>
      <w:proofErr w:type="gramStart"/>
      <w:r w:rsidRPr="00755F49">
        <w:rPr>
          <w:rStyle w:val="element-citation"/>
          <w:color w:val="000000" w:themeColor="text1"/>
          <w:sz w:val="21"/>
          <w:szCs w:val="21"/>
        </w:rPr>
        <w:t>;</w:t>
      </w:r>
      <w:r w:rsidRPr="00755F49">
        <w:rPr>
          <w:rStyle w:val="ref-vol"/>
          <w:color w:val="000000" w:themeColor="text1"/>
          <w:sz w:val="21"/>
          <w:szCs w:val="21"/>
        </w:rPr>
        <w:t>109</w:t>
      </w:r>
      <w:r w:rsidRPr="00755F49">
        <w:rPr>
          <w:rStyle w:val="element-citation"/>
          <w:color w:val="000000" w:themeColor="text1"/>
          <w:sz w:val="21"/>
          <w:szCs w:val="21"/>
        </w:rPr>
        <w:t>:1115</w:t>
      </w:r>
      <w:proofErr w:type="gramEnd"/>
      <w:r w:rsidRPr="00755F49">
        <w:rPr>
          <w:rStyle w:val="element-citation"/>
          <w:color w:val="000000" w:themeColor="text1"/>
          <w:sz w:val="21"/>
          <w:szCs w:val="21"/>
        </w:rPr>
        <w:t>–26.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59.</w:t>
      </w:r>
      <w:r w:rsidRPr="00755F49">
        <w:rPr>
          <w:color w:val="000000" w:themeColor="text1"/>
          <w:sz w:val="21"/>
          <w:szCs w:val="21"/>
        </w:rPr>
        <w:tab/>
      </w:r>
      <w:proofErr w:type="spellStart"/>
      <w:r w:rsidRPr="00755F49">
        <w:rPr>
          <w:rStyle w:val="element-citation"/>
          <w:color w:val="000000" w:themeColor="text1"/>
          <w:sz w:val="21"/>
          <w:szCs w:val="21"/>
        </w:rPr>
        <w:t>Winer</w:t>
      </w:r>
      <w:proofErr w:type="spellEnd"/>
      <w:r w:rsidRPr="00755F49">
        <w:rPr>
          <w:rStyle w:val="element-citation"/>
          <w:color w:val="000000" w:themeColor="text1"/>
          <w:sz w:val="21"/>
          <w:szCs w:val="21"/>
        </w:rPr>
        <w:t xml:space="preserve"> JB, Osmond C. A prospective study of acute idiopathic neuropathy: I: Clinical features and their prognostic value. </w:t>
      </w:r>
      <w:r w:rsidRPr="00755F49">
        <w:rPr>
          <w:rStyle w:val="ref-journal1"/>
          <w:i w:val="0"/>
          <w:color w:val="000000" w:themeColor="text1"/>
          <w:sz w:val="21"/>
          <w:szCs w:val="21"/>
        </w:rPr>
        <w:t xml:space="preserve">J </w:t>
      </w:r>
      <w:proofErr w:type="spellStart"/>
      <w:r w:rsidRPr="00755F49">
        <w:rPr>
          <w:rStyle w:val="ref-journal1"/>
          <w:i w:val="0"/>
          <w:color w:val="000000" w:themeColor="text1"/>
          <w:sz w:val="21"/>
          <w:szCs w:val="21"/>
        </w:rPr>
        <w:t>Neurol</w:t>
      </w:r>
      <w:proofErr w:type="spellEnd"/>
      <w:r w:rsidRPr="00755F49">
        <w:rPr>
          <w:rStyle w:val="ref-journal1"/>
          <w:i w:val="0"/>
          <w:color w:val="000000" w:themeColor="text1"/>
          <w:sz w:val="21"/>
          <w:szCs w:val="21"/>
        </w:rPr>
        <w:t xml:space="preserve"> </w:t>
      </w:r>
      <w:proofErr w:type="spellStart"/>
      <w:r w:rsidRPr="00755F49">
        <w:rPr>
          <w:rStyle w:val="ref-journal1"/>
          <w:i w:val="0"/>
          <w:color w:val="000000" w:themeColor="text1"/>
          <w:sz w:val="21"/>
          <w:szCs w:val="21"/>
        </w:rPr>
        <w:t>Neurosurg</w:t>
      </w:r>
      <w:proofErr w:type="spellEnd"/>
      <w:r w:rsidRPr="00755F49">
        <w:rPr>
          <w:rStyle w:val="ref-journal1"/>
          <w:i w:val="0"/>
          <w:color w:val="000000" w:themeColor="text1"/>
          <w:sz w:val="21"/>
          <w:szCs w:val="21"/>
        </w:rPr>
        <w:t xml:space="preserve"> </w:t>
      </w:r>
      <w:proofErr w:type="spellStart"/>
      <w:r w:rsidRPr="00755F49">
        <w:rPr>
          <w:rStyle w:val="ref-journal1"/>
          <w:i w:val="0"/>
          <w:color w:val="000000" w:themeColor="text1"/>
          <w:sz w:val="21"/>
          <w:szCs w:val="21"/>
        </w:rPr>
        <w:t>Psychiatr</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1988</w:t>
      </w:r>
      <w:proofErr w:type="gramStart"/>
      <w:r w:rsidRPr="00755F49">
        <w:rPr>
          <w:rStyle w:val="element-citation"/>
          <w:color w:val="000000" w:themeColor="text1"/>
          <w:sz w:val="21"/>
          <w:szCs w:val="21"/>
        </w:rPr>
        <w:t>;</w:t>
      </w:r>
      <w:r w:rsidRPr="00755F49">
        <w:rPr>
          <w:rStyle w:val="ref-vol"/>
          <w:color w:val="000000" w:themeColor="text1"/>
          <w:sz w:val="21"/>
          <w:szCs w:val="21"/>
        </w:rPr>
        <w:t>51</w:t>
      </w:r>
      <w:r w:rsidRPr="00755F49">
        <w:rPr>
          <w:rStyle w:val="element-citation"/>
          <w:color w:val="000000" w:themeColor="text1"/>
          <w:sz w:val="21"/>
          <w:szCs w:val="21"/>
        </w:rPr>
        <w:t>:605</w:t>
      </w:r>
      <w:proofErr w:type="gramEnd"/>
      <w:r w:rsidRPr="00755F49">
        <w:rPr>
          <w:rStyle w:val="element-citation"/>
          <w:color w:val="000000" w:themeColor="text1"/>
          <w:sz w:val="21"/>
          <w:szCs w:val="21"/>
        </w:rPr>
        <w:t>–12.</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60.</w:t>
      </w:r>
      <w:r w:rsidRPr="00755F49">
        <w:rPr>
          <w:color w:val="000000" w:themeColor="text1"/>
          <w:sz w:val="21"/>
          <w:szCs w:val="21"/>
        </w:rPr>
        <w:tab/>
      </w:r>
      <w:proofErr w:type="spellStart"/>
      <w:r w:rsidRPr="00755F49">
        <w:rPr>
          <w:rStyle w:val="element-citation"/>
          <w:color w:val="000000" w:themeColor="text1"/>
          <w:sz w:val="21"/>
          <w:szCs w:val="21"/>
        </w:rPr>
        <w:t>Koul</w:t>
      </w:r>
      <w:proofErr w:type="spellEnd"/>
      <w:r w:rsidRPr="00755F49">
        <w:rPr>
          <w:rStyle w:val="element-citation"/>
          <w:color w:val="000000" w:themeColor="text1"/>
          <w:sz w:val="21"/>
          <w:szCs w:val="21"/>
        </w:rPr>
        <w:t xml:space="preserve"> RL, </w:t>
      </w:r>
      <w:proofErr w:type="spellStart"/>
      <w:r w:rsidRPr="00755F49">
        <w:rPr>
          <w:rStyle w:val="element-citation"/>
          <w:color w:val="000000" w:themeColor="text1"/>
          <w:sz w:val="21"/>
          <w:szCs w:val="21"/>
        </w:rPr>
        <w:t>Alfutaisi</w:t>
      </w:r>
      <w:proofErr w:type="spellEnd"/>
      <w:r w:rsidRPr="00755F49">
        <w:rPr>
          <w:rStyle w:val="element-citation"/>
          <w:color w:val="000000" w:themeColor="text1"/>
          <w:sz w:val="21"/>
          <w:szCs w:val="21"/>
        </w:rPr>
        <w:t xml:space="preserve"> A. Prospective study of children with Guillain-Barre syndrome. </w:t>
      </w:r>
      <w:r w:rsidRPr="00755F49">
        <w:rPr>
          <w:rStyle w:val="ref-journal1"/>
          <w:i w:val="0"/>
          <w:color w:val="000000" w:themeColor="text1"/>
          <w:sz w:val="21"/>
          <w:szCs w:val="21"/>
        </w:rPr>
        <w:t xml:space="preserve">Indian J </w:t>
      </w:r>
      <w:proofErr w:type="spellStart"/>
      <w:r w:rsidRPr="00755F49">
        <w:rPr>
          <w:rStyle w:val="ref-journal1"/>
          <w:i w:val="0"/>
          <w:color w:val="000000" w:themeColor="text1"/>
          <w:sz w:val="21"/>
          <w:szCs w:val="21"/>
        </w:rPr>
        <w:t>Pediatr</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2008</w:t>
      </w:r>
      <w:proofErr w:type="gramStart"/>
      <w:r w:rsidRPr="00755F49">
        <w:rPr>
          <w:rStyle w:val="element-citation"/>
          <w:color w:val="000000" w:themeColor="text1"/>
          <w:sz w:val="21"/>
          <w:szCs w:val="21"/>
        </w:rPr>
        <w:t>;</w:t>
      </w:r>
      <w:r w:rsidRPr="00755F49">
        <w:rPr>
          <w:rStyle w:val="ref-vol"/>
          <w:color w:val="000000" w:themeColor="text1"/>
          <w:sz w:val="21"/>
          <w:szCs w:val="21"/>
        </w:rPr>
        <w:t>75</w:t>
      </w:r>
      <w:r w:rsidRPr="00755F49">
        <w:rPr>
          <w:rStyle w:val="element-citation"/>
          <w:color w:val="000000" w:themeColor="text1"/>
          <w:sz w:val="21"/>
          <w:szCs w:val="21"/>
        </w:rPr>
        <w:t>:787</w:t>
      </w:r>
      <w:proofErr w:type="gramEnd"/>
      <w:r w:rsidRPr="00755F49">
        <w:rPr>
          <w:rStyle w:val="element-citation"/>
          <w:color w:val="000000" w:themeColor="text1"/>
          <w:sz w:val="21"/>
          <w:szCs w:val="21"/>
        </w:rPr>
        <w:t>–90.</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61.</w:t>
      </w:r>
      <w:r w:rsidRPr="00755F49">
        <w:rPr>
          <w:color w:val="000000" w:themeColor="text1"/>
          <w:sz w:val="21"/>
          <w:szCs w:val="21"/>
        </w:rPr>
        <w:tab/>
      </w:r>
      <w:r w:rsidRPr="00755F49">
        <w:rPr>
          <w:rStyle w:val="element-citation"/>
          <w:color w:val="000000" w:themeColor="text1"/>
          <w:sz w:val="21"/>
          <w:szCs w:val="21"/>
        </w:rPr>
        <w:t xml:space="preserve">Lee JH, Sung IY, </w:t>
      </w:r>
      <w:proofErr w:type="spellStart"/>
      <w:r w:rsidRPr="00755F49">
        <w:rPr>
          <w:rStyle w:val="element-citation"/>
          <w:color w:val="000000" w:themeColor="text1"/>
          <w:sz w:val="21"/>
          <w:szCs w:val="21"/>
        </w:rPr>
        <w:t>Rew</w:t>
      </w:r>
      <w:proofErr w:type="spellEnd"/>
      <w:r w:rsidRPr="00755F49">
        <w:rPr>
          <w:rStyle w:val="element-citation"/>
          <w:color w:val="000000" w:themeColor="text1"/>
          <w:sz w:val="21"/>
          <w:szCs w:val="21"/>
        </w:rPr>
        <w:t xml:space="preserve"> IS. </w:t>
      </w:r>
      <w:proofErr w:type="gramStart"/>
      <w:r w:rsidRPr="00755F49">
        <w:rPr>
          <w:rStyle w:val="element-citation"/>
          <w:color w:val="000000" w:themeColor="text1"/>
          <w:sz w:val="21"/>
          <w:szCs w:val="21"/>
        </w:rPr>
        <w:t>Clinical presentation and prognosis of childhood Guillain-Barre syndrome.</w:t>
      </w:r>
      <w:proofErr w:type="gramEnd"/>
      <w:r w:rsidRPr="00755F49">
        <w:rPr>
          <w:rStyle w:val="element-citation"/>
          <w:color w:val="000000" w:themeColor="text1"/>
          <w:sz w:val="21"/>
          <w:szCs w:val="21"/>
        </w:rPr>
        <w:t xml:space="preserve"> </w:t>
      </w:r>
      <w:r w:rsidRPr="00755F49">
        <w:rPr>
          <w:rStyle w:val="ref-journal1"/>
          <w:i w:val="0"/>
          <w:color w:val="000000" w:themeColor="text1"/>
          <w:sz w:val="21"/>
          <w:szCs w:val="21"/>
        </w:rPr>
        <w:t xml:space="preserve">J </w:t>
      </w:r>
      <w:proofErr w:type="spellStart"/>
      <w:r w:rsidRPr="00755F49">
        <w:rPr>
          <w:rStyle w:val="ref-journal1"/>
          <w:i w:val="0"/>
          <w:color w:val="000000" w:themeColor="text1"/>
          <w:sz w:val="21"/>
          <w:szCs w:val="21"/>
        </w:rPr>
        <w:t>Paediatr</w:t>
      </w:r>
      <w:proofErr w:type="spellEnd"/>
      <w:r w:rsidRPr="00755F49">
        <w:rPr>
          <w:rStyle w:val="ref-journal1"/>
          <w:i w:val="0"/>
          <w:color w:val="000000" w:themeColor="text1"/>
          <w:sz w:val="21"/>
          <w:szCs w:val="21"/>
        </w:rPr>
        <w:t xml:space="preserve"> Child Health </w:t>
      </w:r>
      <w:r w:rsidRPr="00755F49">
        <w:rPr>
          <w:rStyle w:val="element-citation"/>
          <w:color w:val="000000" w:themeColor="text1"/>
          <w:sz w:val="21"/>
          <w:szCs w:val="21"/>
        </w:rPr>
        <w:t>2008</w:t>
      </w:r>
      <w:proofErr w:type="gramStart"/>
      <w:r w:rsidRPr="00755F49">
        <w:rPr>
          <w:rStyle w:val="element-citation"/>
          <w:color w:val="000000" w:themeColor="text1"/>
          <w:sz w:val="21"/>
          <w:szCs w:val="21"/>
        </w:rPr>
        <w:t>;</w:t>
      </w:r>
      <w:r w:rsidRPr="00755F49">
        <w:rPr>
          <w:rStyle w:val="ref-vol"/>
          <w:color w:val="000000" w:themeColor="text1"/>
          <w:sz w:val="21"/>
          <w:szCs w:val="21"/>
        </w:rPr>
        <w:t>44</w:t>
      </w:r>
      <w:r w:rsidRPr="00755F49">
        <w:rPr>
          <w:rStyle w:val="element-citation"/>
          <w:color w:val="000000" w:themeColor="text1"/>
          <w:sz w:val="21"/>
          <w:szCs w:val="21"/>
        </w:rPr>
        <w:t>:449</w:t>
      </w:r>
      <w:proofErr w:type="gramEnd"/>
      <w:r w:rsidRPr="00755F49">
        <w:rPr>
          <w:rStyle w:val="element-citation"/>
          <w:color w:val="000000" w:themeColor="text1"/>
          <w:sz w:val="21"/>
          <w:szCs w:val="21"/>
        </w:rPr>
        <w:t>–54.</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62.</w:t>
      </w:r>
      <w:r w:rsidRPr="00755F49">
        <w:rPr>
          <w:color w:val="000000" w:themeColor="text1"/>
          <w:sz w:val="21"/>
          <w:szCs w:val="21"/>
        </w:rPr>
        <w:tab/>
      </w:r>
      <w:proofErr w:type="spellStart"/>
      <w:r w:rsidRPr="00755F49">
        <w:rPr>
          <w:rStyle w:val="element-citation"/>
          <w:color w:val="000000" w:themeColor="text1"/>
          <w:sz w:val="21"/>
          <w:szCs w:val="21"/>
        </w:rPr>
        <w:t>Cosi</w:t>
      </w:r>
      <w:proofErr w:type="spellEnd"/>
      <w:r w:rsidRPr="00755F49">
        <w:rPr>
          <w:rStyle w:val="element-citation"/>
          <w:color w:val="000000" w:themeColor="text1"/>
          <w:sz w:val="21"/>
          <w:szCs w:val="21"/>
        </w:rPr>
        <w:t xml:space="preserve"> V, </w:t>
      </w:r>
      <w:proofErr w:type="spellStart"/>
      <w:r w:rsidRPr="00755F49">
        <w:rPr>
          <w:rStyle w:val="element-citation"/>
          <w:color w:val="000000" w:themeColor="text1"/>
          <w:sz w:val="21"/>
          <w:szCs w:val="21"/>
        </w:rPr>
        <w:t>Versino</w:t>
      </w:r>
      <w:proofErr w:type="spellEnd"/>
      <w:r w:rsidRPr="00755F49">
        <w:rPr>
          <w:rStyle w:val="element-citation"/>
          <w:color w:val="000000" w:themeColor="text1"/>
          <w:sz w:val="21"/>
          <w:szCs w:val="21"/>
        </w:rPr>
        <w:t xml:space="preserve"> M. Guillain-Barre syndrome. </w:t>
      </w:r>
      <w:proofErr w:type="spellStart"/>
      <w:r w:rsidRPr="00755F49">
        <w:rPr>
          <w:rStyle w:val="ref-journal1"/>
          <w:i w:val="0"/>
          <w:color w:val="000000" w:themeColor="text1"/>
          <w:sz w:val="21"/>
          <w:szCs w:val="21"/>
        </w:rPr>
        <w:t>Neurol</w:t>
      </w:r>
      <w:proofErr w:type="spellEnd"/>
      <w:r w:rsidRPr="00755F49">
        <w:rPr>
          <w:rStyle w:val="ref-journal1"/>
          <w:i w:val="0"/>
          <w:color w:val="000000" w:themeColor="text1"/>
          <w:sz w:val="21"/>
          <w:szCs w:val="21"/>
        </w:rPr>
        <w:t xml:space="preserve"> </w:t>
      </w:r>
      <w:proofErr w:type="spellStart"/>
      <w:r w:rsidRPr="00755F49">
        <w:rPr>
          <w:rStyle w:val="ref-journal1"/>
          <w:i w:val="0"/>
          <w:color w:val="000000" w:themeColor="text1"/>
          <w:sz w:val="21"/>
          <w:szCs w:val="21"/>
        </w:rPr>
        <w:t>Sci</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2006</w:t>
      </w:r>
      <w:proofErr w:type="gramStart"/>
      <w:r w:rsidRPr="00755F49">
        <w:rPr>
          <w:rStyle w:val="element-citation"/>
          <w:color w:val="000000" w:themeColor="text1"/>
          <w:sz w:val="21"/>
          <w:szCs w:val="21"/>
        </w:rPr>
        <w:t>;</w:t>
      </w:r>
      <w:r w:rsidRPr="00755F49">
        <w:rPr>
          <w:rStyle w:val="ref-vol"/>
          <w:color w:val="000000" w:themeColor="text1"/>
          <w:sz w:val="21"/>
          <w:szCs w:val="21"/>
        </w:rPr>
        <w:t>27</w:t>
      </w:r>
      <w:r w:rsidRPr="00755F49">
        <w:rPr>
          <w:rStyle w:val="element-citation"/>
          <w:color w:val="000000" w:themeColor="text1"/>
          <w:sz w:val="21"/>
          <w:szCs w:val="21"/>
        </w:rPr>
        <w:t>:S47</w:t>
      </w:r>
      <w:proofErr w:type="gramEnd"/>
      <w:r w:rsidRPr="00755F49">
        <w:rPr>
          <w:rStyle w:val="element-citation"/>
          <w:color w:val="000000" w:themeColor="text1"/>
          <w:sz w:val="21"/>
          <w:szCs w:val="21"/>
        </w:rPr>
        <w:t>–51.</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63.</w:t>
      </w:r>
      <w:r w:rsidRPr="00755F49">
        <w:rPr>
          <w:color w:val="000000" w:themeColor="text1"/>
          <w:sz w:val="21"/>
          <w:szCs w:val="21"/>
        </w:rPr>
        <w:tab/>
      </w:r>
      <w:proofErr w:type="spellStart"/>
      <w:r w:rsidRPr="00755F49">
        <w:rPr>
          <w:rStyle w:val="element-citation"/>
          <w:color w:val="000000" w:themeColor="text1"/>
          <w:sz w:val="21"/>
          <w:szCs w:val="21"/>
        </w:rPr>
        <w:t>Bersano</w:t>
      </w:r>
      <w:proofErr w:type="spellEnd"/>
      <w:r w:rsidRPr="00755F49">
        <w:rPr>
          <w:rStyle w:val="element-citation"/>
          <w:color w:val="000000" w:themeColor="text1"/>
          <w:sz w:val="21"/>
          <w:szCs w:val="21"/>
        </w:rPr>
        <w:t xml:space="preserve"> A, </w:t>
      </w:r>
      <w:proofErr w:type="spellStart"/>
      <w:r w:rsidRPr="00755F49">
        <w:rPr>
          <w:rStyle w:val="element-citation"/>
          <w:color w:val="000000" w:themeColor="text1"/>
          <w:sz w:val="21"/>
          <w:szCs w:val="21"/>
        </w:rPr>
        <w:t>Carpo</w:t>
      </w:r>
      <w:proofErr w:type="spellEnd"/>
      <w:r w:rsidRPr="00755F49">
        <w:rPr>
          <w:rStyle w:val="element-citation"/>
          <w:color w:val="000000" w:themeColor="text1"/>
          <w:sz w:val="21"/>
          <w:szCs w:val="21"/>
        </w:rPr>
        <w:t xml:space="preserve"> M, </w:t>
      </w:r>
      <w:proofErr w:type="spellStart"/>
      <w:r w:rsidRPr="00755F49">
        <w:rPr>
          <w:rStyle w:val="element-citation"/>
          <w:color w:val="000000" w:themeColor="text1"/>
          <w:sz w:val="21"/>
          <w:szCs w:val="21"/>
        </w:rPr>
        <w:t>Allaria</w:t>
      </w:r>
      <w:proofErr w:type="spellEnd"/>
      <w:r w:rsidRPr="00755F49">
        <w:rPr>
          <w:rStyle w:val="element-citation"/>
          <w:color w:val="000000" w:themeColor="text1"/>
          <w:sz w:val="21"/>
          <w:szCs w:val="21"/>
        </w:rPr>
        <w:t xml:space="preserve"> S, </w:t>
      </w:r>
      <w:proofErr w:type="spellStart"/>
      <w:r w:rsidRPr="00755F49">
        <w:rPr>
          <w:rStyle w:val="element-citation"/>
          <w:color w:val="000000" w:themeColor="text1"/>
          <w:sz w:val="21"/>
          <w:szCs w:val="21"/>
        </w:rPr>
        <w:t>Franciotta</w:t>
      </w:r>
      <w:proofErr w:type="spellEnd"/>
      <w:r w:rsidRPr="00755F49">
        <w:rPr>
          <w:rStyle w:val="element-citation"/>
          <w:color w:val="000000" w:themeColor="text1"/>
          <w:sz w:val="21"/>
          <w:szCs w:val="21"/>
        </w:rPr>
        <w:t xml:space="preserve"> D, </w:t>
      </w:r>
      <w:proofErr w:type="spellStart"/>
      <w:r w:rsidRPr="00755F49">
        <w:rPr>
          <w:rStyle w:val="element-citation"/>
          <w:color w:val="000000" w:themeColor="text1"/>
          <w:sz w:val="21"/>
          <w:szCs w:val="21"/>
        </w:rPr>
        <w:t>Citterio</w:t>
      </w:r>
      <w:proofErr w:type="spellEnd"/>
      <w:r w:rsidRPr="00755F49">
        <w:rPr>
          <w:rStyle w:val="element-citation"/>
          <w:color w:val="000000" w:themeColor="text1"/>
          <w:sz w:val="21"/>
          <w:szCs w:val="21"/>
        </w:rPr>
        <w:t xml:space="preserve"> A, Nobile-</w:t>
      </w:r>
      <w:proofErr w:type="spellStart"/>
      <w:r w:rsidRPr="00755F49">
        <w:rPr>
          <w:rStyle w:val="element-citation"/>
          <w:color w:val="000000" w:themeColor="text1"/>
          <w:sz w:val="21"/>
          <w:szCs w:val="21"/>
        </w:rPr>
        <w:t>Orazio</w:t>
      </w:r>
      <w:proofErr w:type="spellEnd"/>
      <w:r w:rsidRPr="00755F49">
        <w:rPr>
          <w:rStyle w:val="element-citation"/>
          <w:color w:val="000000" w:themeColor="text1"/>
          <w:sz w:val="21"/>
          <w:szCs w:val="21"/>
        </w:rPr>
        <w:t xml:space="preserve"> E. Long term disability </w:t>
      </w:r>
      <w:r w:rsidRPr="00755F49">
        <w:rPr>
          <w:rStyle w:val="element-citation"/>
          <w:color w:val="000000" w:themeColor="text1"/>
          <w:sz w:val="21"/>
          <w:szCs w:val="21"/>
        </w:rPr>
        <w:lastRenderedPageBreak/>
        <w:t xml:space="preserve">and social status change after Guillain-Barre syndrome. </w:t>
      </w:r>
      <w:r w:rsidRPr="00755F49">
        <w:rPr>
          <w:rStyle w:val="ref-journal1"/>
          <w:i w:val="0"/>
          <w:color w:val="000000" w:themeColor="text1"/>
          <w:sz w:val="21"/>
          <w:szCs w:val="21"/>
        </w:rPr>
        <w:t xml:space="preserve">J </w:t>
      </w:r>
      <w:proofErr w:type="spellStart"/>
      <w:r w:rsidRPr="00755F49">
        <w:rPr>
          <w:rStyle w:val="ref-journal1"/>
          <w:i w:val="0"/>
          <w:color w:val="000000" w:themeColor="text1"/>
          <w:sz w:val="21"/>
          <w:szCs w:val="21"/>
        </w:rPr>
        <w:t>Neurol</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2006</w:t>
      </w:r>
      <w:proofErr w:type="gramStart"/>
      <w:r w:rsidRPr="00755F49">
        <w:rPr>
          <w:rStyle w:val="element-citation"/>
          <w:color w:val="000000" w:themeColor="text1"/>
          <w:sz w:val="21"/>
          <w:szCs w:val="21"/>
        </w:rPr>
        <w:t>;</w:t>
      </w:r>
      <w:r w:rsidRPr="00755F49">
        <w:rPr>
          <w:rStyle w:val="ref-vol"/>
          <w:color w:val="000000" w:themeColor="text1"/>
          <w:sz w:val="21"/>
          <w:szCs w:val="21"/>
        </w:rPr>
        <w:t>253</w:t>
      </w:r>
      <w:r w:rsidRPr="00755F49">
        <w:rPr>
          <w:rStyle w:val="element-citation"/>
          <w:color w:val="000000" w:themeColor="text1"/>
          <w:sz w:val="21"/>
          <w:szCs w:val="21"/>
        </w:rPr>
        <w:t>:214</w:t>
      </w:r>
      <w:proofErr w:type="gramEnd"/>
      <w:r w:rsidRPr="00755F49">
        <w:rPr>
          <w:rStyle w:val="element-citation"/>
          <w:color w:val="000000" w:themeColor="text1"/>
          <w:sz w:val="21"/>
          <w:szCs w:val="21"/>
        </w:rPr>
        <w:t>–8.</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64.</w:t>
      </w:r>
      <w:r w:rsidRPr="00755F49">
        <w:rPr>
          <w:color w:val="000000" w:themeColor="text1"/>
          <w:sz w:val="21"/>
          <w:szCs w:val="21"/>
        </w:rPr>
        <w:tab/>
      </w:r>
      <w:r w:rsidRPr="00755F49">
        <w:rPr>
          <w:rStyle w:val="element-citation"/>
          <w:color w:val="000000" w:themeColor="text1"/>
          <w:sz w:val="21"/>
          <w:szCs w:val="21"/>
        </w:rPr>
        <w:t xml:space="preserve">Cheng BC, Chang WN, Chang CS, </w:t>
      </w:r>
      <w:proofErr w:type="spellStart"/>
      <w:r w:rsidRPr="00755F49">
        <w:rPr>
          <w:rStyle w:val="element-citation"/>
          <w:color w:val="000000" w:themeColor="text1"/>
          <w:sz w:val="21"/>
          <w:szCs w:val="21"/>
        </w:rPr>
        <w:t>Chee</w:t>
      </w:r>
      <w:proofErr w:type="spellEnd"/>
      <w:r w:rsidRPr="00755F49">
        <w:rPr>
          <w:rStyle w:val="element-citation"/>
          <w:color w:val="000000" w:themeColor="text1"/>
          <w:sz w:val="21"/>
          <w:szCs w:val="21"/>
        </w:rPr>
        <w:t xml:space="preserve"> CY, Huang CR, Chen JB, et al. Guillain-Barre syndrome in southern Taiwan: Clinical features, prognostic factors and therapeutic outcomes. </w:t>
      </w:r>
      <w:proofErr w:type="spellStart"/>
      <w:r w:rsidRPr="00755F49">
        <w:rPr>
          <w:rStyle w:val="ref-journal1"/>
          <w:i w:val="0"/>
          <w:color w:val="000000" w:themeColor="text1"/>
          <w:sz w:val="21"/>
          <w:szCs w:val="21"/>
        </w:rPr>
        <w:t>Eur</w:t>
      </w:r>
      <w:proofErr w:type="spellEnd"/>
      <w:r w:rsidRPr="00755F49">
        <w:rPr>
          <w:rStyle w:val="ref-journal1"/>
          <w:i w:val="0"/>
          <w:color w:val="000000" w:themeColor="text1"/>
          <w:sz w:val="21"/>
          <w:szCs w:val="21"/>
        </w:rPr>
        <w:t xml:space="preserve"> J </w:t>
      </w:r>
      <w:proofErr w:type="spellStart"/>
      <w:r w:rsidRPr="00755F49">
        <w:rPr>
          <w:rStyle w:val="ref-journal1"/>
          <w:i w:val="0"/>
          <w:color w:val="000000" w:themeColor="text1"/>
          <w:sz w:val="21"/>
          <w:szCs w:val="21"/>
        </w:rPr>
        <w:t>Neurol</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2003</w:t>
      </w:r>
      <w:proofErr w:type="gramStart"/>
      <w:r w:rsidRPr="00755F49">
        <w:rPr>
          <w:rStyle w:val="element-citation"/>
          <w:color w:val="000000" w:themeColor="text1"/>
          <w:sz w:val="21"/>
          <w:szCs w:val="21"/>
        </w:rPr>
        <w:t>;</w:t>
      </w:r>
      <w:r w:rsidRPr="00755F49">
        <w:rPr>
          <w:rStyle w:val="ref-vol"/>
          <w:color w:val="000000" w:themeColor="text1"/>
          <w:sz w:val="21"/>
          <w:szCs w:val="21"/>
        </w:rPr>
        <w:t>10</w:t>
      </w:r>
      <w:r w:rsidRPr="00755F49">
        <w:rPr>
          <w:rStyle w:val="element-citation"/>
          <w:color w:val="000000" w:themeColor="text1"/>
          <w:sz w:val="21"/>
          <w:szCs w:val="21"/>
        </w:rPr>
        <w:t>:655</w:t>
      </w:r>
      <w:proofErr w:type="gramEnd"/>
      <w:r w:rsidRPr="00755F49">
        <w:rPr>
          <w:rStyle w:val="element-citation"/>
          <w:color w:val="000000" w:themeColor="text1"/>
          <w:sz w:val="21"/>
          <w:szCs w:val="21"/>
        </w:rPr>
        <w:t>–62.</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65.</w:t>
      </w:r>
      <w:r w:rsidRPr="00755F49">
        <w:rPr>
          <w:color w:val="000000" w:themeColor="text1"/>
          <w:sz w:val="21"/>
          <w:szCs w:val="21"/>
        </w:rPr>
        <w:tab/>
      </w:r>
      <w:r w:rsidRPr="00755F49">
        <w:rPr>
          <w:rStyle w:val="element-citation"/>
          <w:color w:val="000000" w:themeColor="text1"/>
          <w:sz w:val="21"/>
          <w:szCs w:val="21"/>
        </w:rPr>
        <w:t xml:space="preserve">Bradshaw DY, Jones HR Jr. Guillain-Barre syndrome in children: Clinical course, </w:t>
      </w:r>
      <w:proofErr w:type="spellStart"/>
      <w:r w:rsidRPr="00755F49">
        <w:rPr>
          <w:rStyle w:val="element-citation"/>
          <w:color w:val="000000" w:themeColor="text1"/>
          <w:sz w:val="21"/>
          <w:szCs w:val="21"/>
        </w:rPr>
        <w:lastRenderedPageBreak/>
        <w:t>electrodiagnosis</w:t>
      </w:r>
      <w:proofErr w:type="spellEnd"/>
      <w:r w:rsidRPr="00755F49">
        <w:rPr>
          <w:rStyle w:val="element-citation"/>
          <w:color w:val="000000" w:themeColor="text1"/>
          <w:sz w:val="21"/>
          <w:szCs w:val="21"/>
        </w:rPr>
        <w:t xml:space="preserve">, and prognosis. </w:t>
      </w:r>
      <w:r w:rsidRPr="00755F49">
        <w:rPr>
          <w:rStyle w:val="ref-journal1"/>
          <w:i w:val="0"/>
          <w:color w:val="000000" w:themeColor="text1"/>
          <w:sz w:val="21"/>
          <w:szCs w:val="21"/>
        </w:rPr>
        <w:t xml:space="preserve">Muscle Nerve </w:t>
      </w:r>
      <w:r w:rsidRPr="00755F49">
        <w:rPr>
          <w:rStyle w:val="element-citation"/>
          <w:color w:val="000000" w:themeColor="text1"/>
          <w:sz w:val="21"/>
          <w:szCs w:val="21"/>
        </w:rPr>
        <w:t>1992</w:t>
      </w:r>
      <w:proofErr w:type="gramStart"/>
      <w:r w:rsidRPr="00755F49">
        <w:rPr>
          <w:rStyle w:val="element-citation"/>
          <w:color w:val="000000" w:themeColor="text1"/>
          <w:sz w:val="21"/>
          <w:szCs w:val="21"/>
        </w:rPr>
        <w:t>;</w:t>
      </w:r>
      <w:r w:rsidRPr="00755F49">
        <w:rPr>
          <w:rStyle w:val="ref-vol"/>
          <w:color w:val="000000" w:themeColor="text1"/>
          <w:sz w:val="21"/>
          <w:szCs w:val="21"/>
        </w:rPr>
        <w:t>15</w:t>
      </w:r>
      <w:r w:rsidRPr="00755F49">
        <w:rPr>
          <w:rStyle w:val="element-citation"/>
          <w:color w:val="000000" w:themeColor="text1"/>
          <w:sz w:val="21"/>
          <w:szCs w:val="21"/>
        </w:rPr>
        <w:t>:500</w:t>
      </w:r>
      <w:proofErr w:type="gramEnd"/>
      <w:r w:rsidRPr="00755F49">
        <w:rPr>
          <w:rStyle w:val="element-citation"/>
          <w:color w:val="000000" w:themeColor="text1"/>
          <w:sz w:val="21"/>
          <w:szCs w:val="21"/>
        </w:rPr>
        <w:t>–6.</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66.</w:t>
      </w:r>
      <w:r w:rsidRPr="00755F49">
        <w:rPr>
          <w:color w:val="000000" w:themeColor="text1"/>
          <w:sz w:val="21"/>
          <w:szCs w:val="21"/>
        </w:rPr>
        <w:tab/>
      </w:r>
      <w:proofErr w:type="spellStart"/>
      <w:r w:rsidRPr="00755F49">
        <w:rPr>
          <w:rStyle w:val="element-citation"/>
          <w:color w:val="000000" w:themeColor="text1"/>
          <w:sz w:val="21"/>
          <w:szCs w:val="21"/>
        </w:rPr>
        <w:t>Korinthenberg</w:t>
      </w:r>
      <w:proofErr w:type="spellEnd"/>
      <w:r w:rsidRPr="00755F49">
        <w:rPr>
          <w:rStyle w:val="element-citation"/>
          <w:color w:val="000000" w:themeColor="text1"/>
          <w:sz w:val="21"/>
          <w:szCs w:val="21"/>
        </w:rPr>
        <w:t xml:space="preserve"> R, </w:t>
      </w:r>
      <w:proofErr w:type="spellStart"/>
      <w:r w:rsidRPr="00755F49">
        <w:rPr>
          <w:rStyle w:val="element-citation"/>
          <w:color w:val="000000" w:themeColor="text1"/>
          <w:sz w:val="21"/>
          <w:szCs w:val="21"/>
        </w:rPr>
        <w:t>Monting</w:t>
      </w:r>
      <w:proofErr w:type="spellEnd"/>
      <w:r w:rsidRPr="00755F49">
        <w:rPr>
          <w:rStyle w:val="element-citation"/>
          <w:color w:val="000000" w:themeColor="text1"/>
          <w:sz w:val="21"/>
          <w:szCs w:val="21"/>
        </w:rPr>
        <w:t xml:space="preserve"> JS. Natural history and treatment effects in Guillain-Barre syndrome: A </w:t>
      </w:r>
      <w:proofErr w:type="spellStart"/>
      <w:r w:rsidRPr="00755F49">
        <w:rPr>
          <w:rStyle w:val="element-citation"/>
          <w:color w:val="000000" w:themeColor="text1"/>
          <w:sz w:val="21"/>
          <w:szCs w:val="21"/>
        </w:rPr>
        <w:t>multicentre</w:t>
      </w:r>
      <w:proofErr w:type="spellEnd"/>
      <w:r w:rsidRPr="00755F49">
        <w:rPr>
          <w:rStyle w:val="element-citation"/>
          <w:color w:val="000000" w:themeColor="text1"/>
          <w:sz w:val="21"/>
          <w:szCs w:val="21"/>
        </w:rPr>
        <w:t xml:space="preserve"> study. </w:t>
      </w:r>
      <w:r w:rsidRPr="00755F49">
        <w:rPr>
          <w:rStyle w:val="ref-journal1"/>
          <w:i w:val="0"/>
          <w:color w:val="000000" w:themeColor="text1"/>
          <w:sz w:val="21"/>
          <w:szCs w:val="21"/>
        </w:rPr>
        <w:t xml:space="preserve">Arch Dis Child </w:t>
      </w:r>
      <w:r w:rsidRPr="00755F49">
        <w:rPr>
          <w:rStyle w:val="element-citation"/>
          <w:color w:val="000000" w:themeColor="text1"/>
          <w:sz w:val="21"/>
          <w:szCs w:val="21"/>
        </w:rPr>
        <w:t>1996</w:t>
      </w:r>
      <w:proofErr w:type="gramStart"/>
      <w:r w:rsidRPr="00755F49">
        <w:rPr>
          <w:rStyle w:val="element-citation"/>
          <w:color w:val="000000" w:themeColor="text1"/>
          <w:sz w:val="21"/>
          <w:szCs w:val="21"/>
        </w:rPr>
        <w:t>;</w:t>
      </w:r>
      <w:r w:rsidRPr="00755F49">
        <w:rPr>
          <w:rStyle w:val="ref-vol"/>
          <w:color w:val="000000" w:themeColor="text1"/>
          <w:sz w:val="21"/>
          <w:szCs w:val="21"/>
        </w:rPr>
        <w:t>74</w:t>
      </w:r>
      <w:r w:rsidRPr="00755F49">
        <w:rPr>
          <w:rStyle w:val="element-citation"/>
          <w:color w:val="000000" w:themeColor="text1"/>
          <w:sz w:val="21"/>
          <w:szCs w:val="21"/>
        </w:rPr>
        <w:t>:281</w:t>
      </w:r>
      <w:proofErr w:type="gramEnd"/>
      <w:r w:rsidRPr="00755F49">
        <w:rPr>
          <w:rStyle w:val="element-citation"/>
          <w:color w:val="000000" w:themeColor="text1"/>
          <w:sz w:val="21"/>
          <w:szCs w:val="21"/>
        </w:rPr>
        <w:t>–7.</w:t>
      </w:r>
    </w:p>
    <w:p w:rsidR="007C5476" w:rsidRPr="00755F49" w:rsidRDefault="007C5476" w:rsidP="00755F49">
      <w:pPr>
        <w:tabs>
          <w:tab w:val="left" w:pos="432"/>
        </w:tabs>
        <w:ind w:left="432" w:hanging="432"/>
        <w:jc w:val="both"/>
        <w:rPr>
          <w:color w:val="000000" w:themeColor="text1"/>
          <w:sz w:val="21"/>
          <w:szCs w:val="21"/>
        </w:rPr>
      </w:pPr>
      <w:r w:rsidRPr="00755F49">
        <w:rPr>
          <w:color w:val="000000" w:themeColor="text1"/>
          <w:sz w:val="21"/>
          <w:szCs w:val="21"/>
        </w:rPr>
        <w:t>67.</w:t>
      </w:r>
      <w:r w:rsidRPr="00755F49">
        <w:rPr>
          <w:color w:val="000000" w:themeColor="text1"/>
          <w:sz w:val="21"/>
          <w:szCs w:val="21"/>
        </w:rPr>
        <w:tab/>
      </w:r>
      <w:proofErr w:type="spellStart"/>
      <w:r w:rsidRPr="00755F49">
        <w:rPr>
          <w:rStyle w:val="element-citation"/>
          <w:color w:val="000000" w:themeColor="text1"/>
          <w:sz w:val="21"/>
          <w:szCs w:val="21"/>
        </w:rPr>
        <w:t>Sarada</w:t>
      </w:r>
      <w:proofErr w:type="spellEnd"/>
      <w:r w:rsidRPr="00755F49">
        <w:rPr>
          <w:rStyle w:val="element-citation"/>
          <w:color w:val="000000" w:themeColor="text1"/>
          <w:sz w:val="21"/>
          <w:szCs w:val="21"/>
        </w:rPr>
        <w:t xml:space="preserve"> C, </w:t>
      </w:r>
      <w:proofErr w:type="spellStart"/>
      <w:r w:rsidRPr="00755F49">
        <w:rPr>
          <w:rStyle w:val="element-citation"/>
          <w:color w:val="000000" w:themeColor="text1"/>
          <w:sz w:val="21"/>
          <w:szCs w:val="21"/>
        </w:rPr>
        <w:t>Tharakan</w:t>
      </w:r>
      <w:proofErr w:type="spellEnd"/>
      <w:r w:rsidRPr="00755F49">
        <w:rPr>
          <w:rStyle w:val="element-citation"/>
          <w:color w:val="000000" w:themeColor="text1"/>
          <w:sz w:val="21"/>
          <w:szCs w:val="21"/>
        </w:rPr>
        <w:t xml:space="preserve"> JK, Nair M. Guillain-Barre syndrome: A prospective clinical study in 25 children and comparison with adults. </w:t>
      </w:r>
      <w:r w:rsidRPr="00755F49">
        <w:rPr>
          <w:rStyle w:val="ref-journal1"/>
          <w:i w:val="0"/>
          <w:color w:val="000000" w:themeColor="text1"/>
          <w:sz w:val="21"/>
          <w:szCs w:val="21"/>
        </w:rPr>
        <w:t xml:space="preserve">Ann Trop </w:t>
      </w:r>
      <w:proofErr w:type="spellStart"/>
      <w:r w:rsidRPr="00755F49">
        <w:rPr>
          <w:rStyle w:val="ref-journal1"/>
          <w:i w:val="0"/>
          <w:color w:val="000000" w:themeColor="text1"/>
          <w:sz w:val="21"/>
          <w:szCs w:val="21"/>
        </w:rPr>
        <w:t>Paediatr</w:t>
      </w:r>
      <w:proofErr w:type="spellEnd"/>
      <w:r w:rsidRPr="00755F49">
        <w:rPr>
          <w:rStyle w:val="ref-journal1"/>
          <w:i w:val="0"/>
          <w:color w:val="000000" w:themeColor="text1"/>
          <w:sz w:val="21"/>
          <w:szCs w:val="21"/>
        </w:rPr>
        <w:t xml:space="preserve"> </w:t>
      </w:r>
      <w:r w:rsidRPr="00755F49">
        <w:rPr>
          <w:rStyle w:val="element-citation"/>
          <w:color w:val="000000" w:themeColor="text1"/>
          <w:sz w:val="21"/>
          <w:szCs w:val="21"/>
        </w:rPr>
        <w:t>1994</w:t>
      </w:r>
      <w:proofErr w:type="gramStart"/>
      <w:r w:rsidRPr="00755F49">
        <w:rPr>
          <w:rStyle w:val="element-citation"/>
          <w:color w:val="000000" w:themeColor="text1"/>
          <w:sz w:val="21"/>
          <w:szCs w:val="21"/>
        </w:rPr>
        <w:t>;</w:t>
      </w:r>
      <w:r w:rsidRPr="00755F49">
        <w:rPr>
          <w:rStyle w:val="ref-vol"/>
          <w:color w:val="000000" w:themeColor="text1"/>
          <w:sz w:val="21"/>
          <w:szCs w:val="21"/>
        </w:rPr>
        <w:t>14</w:t>
      </w:r>
      <w:r w:rsidRPr="00755F49">
        <w:rPr>
          <w:rStyle w:val="element-citation"/>
          <w:color w:val="000000" w:themeColor="text1"/>
          <w:sz w:val="21"/>
          <w:szCs w:val="21"/>
        </w:rPr>
        <w:t>:281</w:t>
      </w:r>
      <w:proofErr w:type="gramEnd"/>
      <w:r w:rsidRPr="00755F49">
        <w:rPr>
          <w:rStyle w:val="element-citation"/>
          <w:color w:val="000000" w:themeColor="text1"/>
          <w:sz w:val="21"/>
          <w:szCs w:val="21"/>
        </w:rPr>
        <w:t>–6.</w:t>
      </w:r>
    </w:p>
    <w:p w:rsidR="00755F49" w:rsidRDefault="00755F49" w:rsidP="00755F49">
      <w:pPr>
        <w:tabs>
          <w:tab w:val="left" w:pos="432"/>
        </w:tabs>
        <w:ind w:left="432" w:hanging="432"/>
        <w:jc w:val="both"/>
        <w:rPr>
          <w:color w:val="000000" w:themeColor="text1"/>
          <w:sz w:val="21"/>
          <w:szCs w:val="21"/>
        </w:rPr>
        <w:sectPr w:rsidR="00755F49" w:rsidSect="00755F49">
          <w:type w:val="continuous"/>
          <w:pgSz w:w="12240" w:h="15840" w:code="1"/>
          <w:pgMar w:top="1440" w:right="1008" w:bottom="1440" w:left="1296" w:header="720" w:footer="720" w:gutter="0"/>
          <w:cols w:num="2" w:space="432"/>
          <w:titlePg/>
          <w:docGrid w:linePitch="360"/>
        </w:sectPr>
      </w:pPr>
    </w:p>
    <w:p w:rsidR="007C5476" w:rsidRPr="00755F49" w:rsidRDefault="007C5476" w:rsidP="00755F49">
      <w:pPr>
        <w:tabs>
          <w:tab w:val="left" w:pos="432"/>
        </w:tabs>
        <w:ind w:left="432" w:hanging="432"/>
        <w:jc w:val="both"/>
        <w:rPr>
          <w:color w:val="000000" w:themeColor="text1"/>
          <w:sz w:val="21"/>
          <w:szCs w:val="21"/>
        </w:rPr>
      </w:pPr>
    </w:p>
    <w:sectPr w:rsidR="007C5476" w:rsidRPr="00755F49" w:rsidSect="00755F49">
      <w:type w:val="continuous"/>
      <w:pgSz w:w="12240" w:h="15840" w:code="1"/>
      <w:pgMar w:top="1440" w:right="1008" w:bottom="1440" w:left="1296" w:header="720" w:footer="720" w:gutter="0"/>
      <w:cols w:num="2" w:space="432"/>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476"/>
    <w:rsid w:val="00427B80"/>
    <w:rsid w:val="006F1FB6"/>
    <w:rsid w:val="00755F49"/>
    <w:rsid w:val="007C5476"/>
    <w:rsid w:val="00E11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7C5476"/>
    <w:rPr>
      <w:rFonts w:cs="Times New Roman"/>
      <w:i/>
      <w:iCs/>
    </w:rPr>
  </w:style>
  <w:style w:type="character" w:styleId="Hyperlink">
    <w:name w:val="Hyperlink"/>
    <w:rsid w:val="007C5476"/>
    <w:rPr>
      <w:rFonts w:cs="Times New Roman"/>
      <w:color w:val="004276"/>
      <w:u w:val="none"/>
      <w:effect w:val="none"/>
    </w:rPr>
  </w:style>
  <w:style w:type="character" w:customStyle="1" w:styleId="element-citation">
    <w:name w:val="element-citation"/>
    <w:basedOn w:val="DefaultParagraphFont"/>
    <w:rsid w:val="007C5476"/>
  </w:style>
  <w:style w:type="character" w:customStyle="1" w:styleId="ref-journal1">
    <w:name w:val="ref-journal1"/>
    <w:rsid w:val="007C5476"/>
    <w:rPr>
      <w:i/>
      <w:iCs/>
    </w:rPr>
  </w:style>
  <w:style w:type="character" w:customStyle="1" w:styleId="ref-vol">
    <w:name w:val="ref-vol"/>
    <w:basedOn w:val="DefaultParagraphFont"/>
    <w:rsid w:val="007C54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7C5476"/>
    <w:rPr>
      <w:rFonts w:cs="Times New Roman"/>
      <w:i/>
      <w:iCs/>
    </w:rPr>
  </w:style>
  <w:style w:type="character" w:styleId="Hyperlink">
    <w:name w:val="Hyperlink"/>
    <w:rsid w:val="007C5476"/>
    <w:rPr>
      <w:rFonts w:cs="Times New Roman"/>
      <w:color w:val="004276"/>
      <w:u w:val="none"/>
      <w:effect w:val="none"/>
    </w:rPr>
  </w:style>
  <w:style w:type="character" w:customStyle="1" w:styleId="element-citation">
    <w:name w:val="element-citation"/>
    <w:basedOn w:val="DefaultParagraphFont"/>
    <w:rsid w:val="007C5476"/>
  </w:style>
  <w:style w:type="character" w:customStyle="1" w:styleId="ref-journal1">
    <w:name w:val="ref-journal1"/>
    <w:rsid w:val="007C5476"/>
    <w:rPr>
      <w:i/>
      <w:iCs/>
    </w:rPr>
  </w:style>
  <w:style w:type="character" w:customStyle="1" w:styleId="ref-vol">
    <w:name w:val="ref-vol"/>
    <w:basedOn w:val="DefaultParagraphFont"/>
    <w:rsid w:val="007C5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22Abedin%20SE%22%5BAuthor%5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cbi.nlm.nih.gov/pubmed?term=%22Awan%20F%22%5BAuthor%5D"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cbi.nlm.nih.gov/pubmed?term=%22Khealani%20BA%22%5BAuthor%5D" TargetMode="External"/><Relationship Id="rId11" Type="http://schemas.openxmlformats.org/officeDocument/2006/relationships/hyperlink" Target="http://www.who.int/csr/disease/swineflu/notes/briefing_20091119/en/" TargetMode="External"/><Relationship Id="rId5" Type="http://schemas.openxmlformats.org/officeDocument/2006/relationships/hyperlink" Target="http://www.ncbi.nlm.nih.gov/pubmed?term=%22Shafqat%20S%22%5BAuthor%5D" TargetMode="External"/><Relationship Id="rId10" Type="http://schemas.openxmlformats.org/officeDocument/2006/relationships/hyperlink" Target="http://www.cdc.gov/flu/about/disease/us_flu-related_deaths.htm" TargetMode="External"/><Relationship Id="rId4" Type="http://schemas.openxmlformats.org/officeDocument/2006/relationships/webSettings" Target="webSettings.xml"/><Relationship Id="rId9" Type="http://schemas.openxmlformats.org/officeDocument/2006/relationships/hyperlink" Target="javascript:AL_get(this,%20'jour',%20'Eur%20J%20Neur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4010</Words>
  <Characters>22859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Noman</dc:creator>
  <cp:lastModifiedBy>Noman</cp:lastModifiedBy>
  <cp:revision>2</cp:revision>
  <dcterms:created xsi:type="dcterms:W3CDTF">2018-03-03T12:32:00Z</dcterms:created>
  <dcterms:modified xsi:type="dcterms:W3CDTF">2018-03-03T12:52:00Z</dcterms:modified>
</cp:coreProperties>
</file>